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Maitha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Waudi</w:t>
      </w:r>
      <w:proofErr w:type="spellEnd"/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January 2004</w:t>
      </w:r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802/03</w:t>
      </w:r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ia</w:t>
      </w:r>
      <w:proofErr w:type="spellEnd"/>
    </w:p>
    <w:p w:rsidR="000A2074" w:rsidRDefault="000A2074" w:rsidP="000A2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Supremacy – Whether section 27(2) of Local Government Act inconsistent with section</w:t>
      </w:r>
    </w:p>
    <w:p w:rsidR="000A2074" w:rsidRDefault="000A2074" w:rsidP="000A2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33 of Constitution – Local Government Minister’s power to revoke nomination of nominated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councillor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</w:t>
      </w:r>
    </w:p>
    <w:p w:rsidR="000A2074" w:rsidRDefault="000A2074" w:rsidP="000A2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revocation void – Section 27(2) – Local Government Act (Chapter 265) – Section 33 –</w:t>
      </w:r>
    </w:p>
    <w:p w:rsidR="000A2074" w:rsidRDefault="000A2074" w:rsidP="000A2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Kenya.</w:t>
      </w:r>
    </w:p>
    <w:p w:rsidR="000A2074" w:rsidRDefault="000A2074" w:rsidP="000A2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Judicial review –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 xml:space="preserve">– Nomination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councillor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revoked and another appointed </w:t>
      </w:r>
      <w:r>
        <w:rPr>
          <w:rFonts w:ascii="Times New Roman" w:hAnsi="Times New Roman" w:cs="Times New Roman"/>
          <w:color w:val="000000"/>
        </w:rPr>
        <w:t>vide Gazette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notice – Whether Minister had power to revoke nomination – Whether </w:t>
      </w:r>
      <w:r>
        <w:rPr>
          <w:rFonts w:ascii="Times New Roman" w:hAnsi="Times New Roman" w:cs="Times New Roman"/>
          <w:color w:val="000000"/>
        </w:rPr>
        <w:t xml:space="preserve">Gazette </w:t>
      </w:r>
      <w:r>
        <w:rPr>
          <w:rFonts w:ascii="Times New Roman" w:hAnsi="Times New Roman" w:cs="Times New Roman"/>
          <w:i/>
          <w:iCs/>
          <w:color w:val="000000"/>
        </w:rPr>
        <w:t>notice sufficient as</w:t>
      </w:r>
      <w:r w:rsidR="006243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personal notice – Whether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could issue.</w:t>
      </w:r>
    </w:p>
    <w:p w:rsidR="000A2074" w:rsidRDefault="000A2074" w:rsidP="000A2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24320" w:rsidRDefault="000A2074" w:rsidP="00624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 was nominated by the National Rainbow Coalition (“NARC”) Party as a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in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Municipal Council of Mombasa. The party sent the Applicant’s name for verification by the Electoral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Kenya. The Electoral Commission accepted the nomination, approved his name and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forwarded it to the Minister for Local Government for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and formal appointment of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as a nominated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>. The Minister for Local Government (First Respondent) proceeded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make the appointment and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Applicant as a lawfully nominated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of the Mombasa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Municipal Council. On 20 June 2003, the Minister revoked the nomination aforesaid and published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revocation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 xml:space="preserve">Notice number 4201. He also nominated one Fred </w:t>
      </w:r>
      <w:proofErr w:type="spellStart"/>
      <w:r>
        <w:rPr>
          <w:rFonts w:ascii="Times New Roman" w:hAnsi="Times New Roman" w:cs="Times New Roman"/>
          <w:color w:val="000000"/>
        </w:rPr>
        <w:t>Oyucho</w:t>
      </w:r>
      <w:proofErr w:type="spellEnd"/>
      <w:r>
        <w:rPr>
          <w:rFonts w:ascii="Times New Roman" w:hAnsi="Times New Roman" w:cs="Times New Roman"/>
          <w:color w:val="000000"/>
        </w:rPr>
        <w:t xml:space="preserve"> as a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in place of the Applicant through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4200.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made an application to the High Court seeking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to quash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Minister’s decisions signified under the two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notices aforesaid. It was the Applicant’s contention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Minister was required to consult the Electoral Commission of Kenya and political parties as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under section 33 of the Constitution of Kenya before making the revocation. Secondly,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stated that the Minister was required to serve him notice of the termination as per section 27(2)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Local Government Act (Chapter 265) and that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was not sufficient.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contended that in so far as section 27(2) of the Local Government Act purported to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give the Minister power to revoke nomination of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>, it was inconsistent with section 33 of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required consultations and was thus null and void.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opposed the application arguing that the Minister was not required to consult with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anybody in revocation of the nomination as per section 27(2) of the Local Government Act.</w:t>
      </w:r>
      <w:r w:rsidR="00624320">
        <w:rPr>
          <w:rFonts w:ascii="Times New Roman" w:hAnsi="Times New Roman" w:cs="Times New Roman"/>
          <w:color w:val="000000"/>
        </w:rPr>
        <w:t xml:space="preserve"> </w:t>
      </w:r>
    </w:p>
    <w:p w:rsidR="00624320" w:rsidRDefault="00624320" w:rsidP="00624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A2074" w:rsidRDefault="000A2074" w:rsidP="00624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Minister did not deliver notice in writing of the Applicant’s revocation of his nomination as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as required by section 27(2) of the Local Government Act. An advertisement or notice to the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world in the nature of a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was not such notice as required by section 27(2) aforesaid.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 be against the spirit of section 33 of the Constitution to allow consultations up to the point of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 without the same process of consultation. The proviso to section 27(2) of the Local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Act in as far as it purports to contradict section 33 of the Constitution was inconsistent and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void.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nomination by the Minister of Fred </w:t>
      </w:r>
      <w:proofErr w:type="spellStart"/>
      <w:r>
        <w:rPr>
          <w:rFonts w:ascii="Times New Roman" w:hAnsi="Times New Roman" w:cs="Times New Roman"/>
          <w:color w:val="000000"/>
        </w:rPr>
        <w:t>Oyucho</w:t>
      </w:r>
      <w:proofErr w:type="spellEnd"/>
      <w:r>
        <w:rPr>
          <w:rFonts w:ascii="Times New Roman" w:hAnsi="Times New Roman" w:cs="Times New Roman"/>
          <w:color w:val="000000"/>
        </w:rPr>
        <w:t xml:space="preserve"> without following set down procedure was also void.</w:t>
      </w:r>
      <w:r w:rsidR="006243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would accordingly issue to quash the Minister’s decision as contained in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 w:rsidR="006243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notices number 4200 and 4201.</w:t>
      </w:r>
    </w:p>
    <w:p w:rsidR="00575C55" w:rsidRDefault="000A2074" w:rsidP="000A2074"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74"/>
    <w:rsid w:val="000A2074"/>
    <w:rsid w:val="00575C55"/>
    <w:rsid w:val="006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F1249-2445-41D6-96C7-FA196E65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2018-07-04T18:19:00Z</dcterms:created>
  <dcterms:modified xsi:type="dcterms:W3CDTF">2018-07-11T17:37:00Z</dcterms:modified>
</cp:coreProperties>
</file>