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C6" w:rsidRDefault="00516EC6" w:rsidP="003F10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Maitha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ex parte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Waudi</w:t>
      </w:r>
      <w:proofErr w:type="spellEnd"/>
    </w:p>
    <w:p w:rsidR="00516EC6" w:rsidRDefault="00516EC6" w:rsidP="003F10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16EC6" w:rsidRDefault="00516EC6" w:rsidP="003F10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26 January 2004</w:t>
      </w:r>
    </w:p>
    <w:p w:rsidR="00516EC6" w:rsidRDefault="00516EC6" w:rsidP="003F10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802/03</w:t>
      </w:r>
    </w:p>
    <w:p w:rsidR="00516EC6" w:rsidRDefault="00516EC6" w:rsidP="003F10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516EC6" w:rsidRDefault="00516EC6" w:rsidP="003F10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16EC6" w:rsidRDefault="00516EC6" w:rsidP="003F10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516EC6" w:rsidRDefault="00516EC6" w:rsidP="00516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 – Supremacy – Whether section 27(2) of Local Government Act inconsistent with section</w:t>
      </w:r>
    </w:p>
    <w:p w:rsidR="00516EC6" w:rsidRDefault="00516EC6" w:rsidP="00516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33 of Constitution – Local Government Minister’s power to revoke nomination of nominated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councillor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</w:t>
      </w:r>
    </w:p>
    <w:p w:rsidR="00516EC6" w:rsidRDefault="00516EC6" w:rsidP="00516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revocation void – Section 27(2) – Local Government Act (Chapter 265) – Section 33 –</w:t>
      </w:r>
    </w:p>
    <w:p w:rsidR="00516EC6" w:rsidRDefault="00516EC6" w:rsidP="00516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of Kenya.</w:t>
      </w:r>
    </w:p>
    <w:p w:rsidR="00516EC6" w:rsidRDefault="00516EC6" w:rsidP="00516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Judicial review –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 xml:space="preserve">– Nomination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councillor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revoked and another appointed </w:t>
      </w:r>
      <w:r>
        <w:rPr>
          <w:rFonts w:ascii="Times New Roman" w:hAnsi="Times New Roman" w:cs="Times New Roman"/>
          <w:color w:val="000000"/>
        </w:rPr>
        <w:t>vide Gazette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notice – Whether Minister had power to revoke nomination – Whether </w:t>
      </w:r>
      <w:r>
        <w:rPr>
          <w:rFonts w:ascii="Times New Roman" w:hAnsi="Times New Roman" w:cs="Times New Roman"/>
          <w:color w:val="000000"/>
        </w:rPr>
        <w:t xml:space="preserve">Gazette </w:t>
      </w:r>
      <w:r>
        <w:rPr>
          <w:rFonts w:ascii="Times New Roman" w:hAnsi="Times New Roman" w:cs="Times New Roman"/>
          <w:i/>
          <w:iCs/>
          <w:color w:val="000000"/>
        </w:rPr>
        <w:t>notice sufficient as</w:t>
      </w:r>
      <w:r w:rsidR="003F10D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personal notice – Whether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>could issue.</w:t>
      </w:r>
    </w:p>
    <w:p w:rsidR="00516EC6" w:rsidRDefault="003F10D9" w:rsidP="003F10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3F10D9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Lenaola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AJ: </w:t>
      </w:r>
      <w:r>
        <w:rPr>
          <w:rFonts w:ascii="Times New Roman" w:hAnsi="Times New Roman" w:cs="Times New Roman"/>
          <w:color w:val="000000"/>
        </w:rPr>
        <w:t>This is an interesting application for judicial review brought under section 8(2) of the Law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Reform Act (Chapter 26) Laws of Kenya. Order LIII, rule 1 of the Civil Procedure Rules, section 33 of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of Kenya and sections 26 and 27 of the Local Government Act (Chapter 265) Laws of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prayers sought are:</w:t>
      </w:r>
      <w:r w:rsidR="003F10D9">
        <w:rPr>
          <w:rFonts w:ascii="Times New Roman" w:hAnsi="Times New Roman" w:cs="Times New Roman"/>
          <w:color w:val="000000"/>
        </w:rPr>
        <w:t xml:space="preserve"> </w:t>
      </w:r>
    </w:p>
    <w:p w:rsidR="003F10D9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to remove and quash the decision of the First Respondent contained in the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Kenya Gazette of 20 June 2003 and appearing therein as Gazette Notice number 4201 revoking,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inter</w:t>
      </w:r>
      <w:r w:rsidR="003F10D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alia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the nomination of Joseph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Okoth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Waudi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councillor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Mombasa Municipal Council.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F10D9" w:rsidRDefault="003F10D9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A</w:t>
      </w:r>
      <w:r w:rsidR="00516EC6">
        <w:rPr>
          <w:rFonts w:ascii="Times New Roman" w:hAnsi="Times New Roman" w:cs="Times New Roman"/>
          <w:color w:val="000000"/>
          <w:sz w:val="20"/>
          <w:szCs w:val="20"/>
        </w:rPr>
        <w:t xml:space="preserve">n Order of </w:t>
      </w:r>
      <w:r w:rsidR="00516EC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 w:rsidR="00516EC6">
        <w:rPr>
          <w:rFonts w:ascii="Times New Roman" w:hAnsi="Times New Roman" w:cs="Times New Roman"/>
          <w:color w:val="000000"/>
          <w:sz w:val="20"/>
          <w:szCs w:val="20"/>
        </w:rPr>
        <w:t>to remove and quash the decision of the First Respondent contained in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16EC6">
        <w:rPr>
          <w:rFonts w:ascii="Times New Roman" w:hAnsi="Times New Roman" w:cs="Times New Roman"/>
          <w:color w:val="000000"/>
          <w:sz w:val="20"/>
          <w:szCs w:val="20"/>
        </w:rPr>
        <w:t>Kenya Gazette of 20 June 2003 and appearing therein as Gazette Notice number 4200 nominating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16EC6">
        <w:rPr>
          <w:rFonts w:ascii="Times New Roman" w:hAnsi="Times New Roman" w:cs="Times New Roman"/>
          <w:color w:val="000000"/>
          <w:sz w:val="20"/>
          <w:szCs w:val="20"/>
        </w:rPr>
        <w:t>councillors</w:t>
      </w:r>
      <w:proofErr w:type="spellEnd"/>
      <w:r w:rsidR="00516EC6">
        <w:rPr>
          <w:rFonts w:ascii="Times New Roman" w:hAnsi="Times New Roman" w:cs="Times New Roman"/>
          <w:color w:val="000000"/>
          <w:sz w:val="20"/>
          <w:szCs w:val="20"/>
        </w:rPr>
        <w:t xml:space="preserve"> in various Local Authorities including the Mombasa Municipal Council.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F10D9" w:rsidRDefault="003F10D9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T</w:t>
      </w:r>
      <w:r w:rsidR="00516EC6">
        <w:rPr>
          <w:rFonts w:ascii="Times New Roman" w:hAnsi="Times New Roman" w:cs="Times New Roman"/>
          <w:color w:val="000000"/>
          <w:sz w:val="20"/>
          <w:szCs w:val="20"/>
        </w:rPr>
        <w:t>he Respondents do pay the costs of this application”.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16EC6">
        <w:rPr>
          <w:rFonts w:ascii="Times New Roman" w:hAnsi="Times New Roman" w:cs="Times New Roman"/>
          <w:color w:val="000000"/>
        </w:rPr>
        <w:t>The application is based on the statutory statement filed on 31 July 2003 and the supporting affidavit of</w:t>
      </w:r>
      <w:r>
        <w:rPr>
          <w:rFonts w:ascii="Times New Roman" w:hAnsi="Times New Roman" w:cs="Times New Roman"/>
          <w:color w:val="000000"/>
        </w:rPr>
        <w:t xml:space="preserve"> </w:t>
      </w:r>
      <w:r w:rsidR="00516EC6">
        <w:rPr>
          <w:rFonts w:ascii="Times New Roman" w:hAnsi="Times New Roman" w:cs="Times New Roman"/>
          <w:color w:val="000000"/>
        </w:rPr>
        <w:t xml:space="preserve">Joseph </w:t>
      </w:r>
      <w:proofErr w:type="spellStart"/>
      <w:r w:rsidR="00516EC6">
        <w:rPr>
          <w:rFonts w:ascii="Times New Roman" w:hAnsi="Times New Roman" w:cs="Times New Roman"/>
          <w:color w:val="000000"/>
        </w:rPr>
        <w:t>Okoth</w:t>
      </w:r>
      <w:proofErr w:type="spellEnd"/>
      <w:r w:rsidR="00516E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16EC6">
        <w:rPr>
          <w:rFonts w:ascii="Times New Roman" w:hAnsi="Times New Roman" w:cs="Times New Roman"/>
          <w:color w:val="000000"/>
        </w:rPr>
        <w:t>Waudi</w:t>
      </w:r>
      <w:proofErr w:type="spellEnd"/>
      <w:r w:rsidR="00516EC6">
        <w:rPr>
          <w:rFonts w:ascii="Times New Roman" w:hAnsi="Times New Roman" w:cs="Times New Roman"/>
          <w:color w:val="000000"/>
        </w:rPr>
        <w:t>, sworn on 29 July 2003.</w:t>
      </w:r>
      <w:r>
        <w:rPr>
          <w:rFonts w:ascii="Times New Roman" w:hAnsi="Times New Roman" w:cs="Times New Roman"/>
          <w:color w:val="000000"/>
        </w:rPr>
        <w:t xml:space="preserve"> </w:t>
      </w:r>
      <w:r w:rsidR="00516EC6">
        <w:rPr>
          <w:rFonts w:ascii="Times New Roman" w:hAnsi="Times New Roman" w:cs="Times New Roman"/>
          <w:color w:val="000000"/>
        </w:rPr>
        <w:t>The issues of fact are really not in contention and belie the fact that it elicited points of law that must</w:t>
      </w:r>
      <w:r>
        <w:rPr>
          <w:rFonts w:ascii="Times New Roman" w:hAnsi="Times New Roman" w:cs="Times New Roman"/>
          <w:color w:val="000000"/>
        </w:rPr>
        <w:t xml:space="preserve"> </w:t>
      </w:r>
      <w:r w:rsidR="00516EC6">
        <w:rPr>
          <w:rFonts w:ascii="Times New Roman" w:hAnsi="Times New Roman" w:cs="Times New Roman"/>
          <w:color w:val="000000"/>
        </w:rPr>
        <w:t>be carefully looked at and that is why I find the same very interesting.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F10D9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Facts in support</w:t>
      </w:r>
      <w:r w:rsidR="003F10D9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Applicant was nominated by the National Rainbow Coalition (“NARC”) Party as a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in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Municipal Council of Mombasa. As is the requirement, the party sent the Applicant’s name for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verification by the Electoral Commission of Kenya. The Electoral Commission accepted the nomination,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approved his name and credentials and forwarded it to the Minister of Local Government for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therefore formal appointment of the Applicant as a Nominated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aforesaid. The Minister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has been enjoined as the First Respondent in this matter proceeded to make the appointment and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Applicant as a lawfully nominated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of the Mombasa Municipal Council.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ought to have ended there but did not.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20 June 2003, the Minister revoked the nomination aforesaid and published the revocation in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 xml:space="preserve">notice number 4201. He also nominated one Fred </w:t>
      </w:r>
      <w:proofErr w:type="spellStart"/>
      <w:r>
        <w:rPr>
          <w:rFonts w:ascii="Times New Roman" w:hAnsi="Times New Roman" w:cs="Times New Roman"/>
          <w:color w:val="000000"/>
        </w:rPr>
        <w:t>Oyucho</w:t>
      </w:r>
      <w:proofErr w:type="spellEnd"/>
      <w:r>
        <w:rPr>
          <w:rFonts w:ascii="Times New Roman" w:hAnsi="Times New Roman" w:cs="Times New Roman"/>
          <w:color w:val="000000"/>
        </w:rPr>
        <w:t xml:space="preserve"> as a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in place of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 vide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number 4200.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the decision to revoke the Applicant’s nomination that invoked these proceedings.</w:t>
      </w:r>
      <w:r w:rsidR="003F10D9">
        <w:rPr>
          <w:rFonts w:ascii="Times New Roman" w:hAnsi="Times New Roman" w:cs="Times New Roman"/>
          <w:color w:val="000000"/>
        </w:rPr>
        <w:t xml:space="preserve"> </w:t>
      </w:r>
    </w:p>
    <w:p w:rsidR="003F10D9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Law in support</w:t>
      </w:r>
      <w:r w:rsidR="003F10D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 addressed me on sections of the law that he on behalf of the Applicant,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deemed applicable and which in his view the Minister for Local Government totally disregarded or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misunderstood.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was referred firstly to section 33 of the Constitution, and I was urged to find that this is the section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should check any excessive use of power by the Minister and to ensure that he consults when making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decisions. Section 33 of the Constitution reads in part as follows: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Subject to this section, there shall be twelve nominated members of the National Assembly appointed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President following a general election, to represent special interests.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…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persons to be appointed shall be nominated by the Parliamentary parties according to the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proportion of every Parliamentary party in the National Assembly, taking into account the principal of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gender equality.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The proportions under sub-section (3) shall be determined by the Electoral Commission after every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general election and shall be signified by the Chairman of the Commission to the leaders of the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concerned Parliamentary parties, the President and the Speaker.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The names of the nominees of Parliamentary parties shall be forwarded to the President through the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Electoral Commission who shall ensure observance of the principle of gender equality in the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nominations”.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was then asked to read this section within the context of sections 26 and 27 of the Local Government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26 aforesaid provides as follows: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number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councillors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municipal council shall be as follows: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F10D9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(a) …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(b) Such number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councillors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nominated by the Minister to represent the Government, or any special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interests, as the Minister may, by order determine: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F10D9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( 1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…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3F10D9"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 w:rsidR="003F10D9">
        <w:rPr>
          <w:rFonts w:ascii="Times New Roman" w:hAnsi="Times New Roman" w:cs="Times New Roman"/>
          <w:color w:val="000000"/>
          <w:sz w:val="20"/>
          <w:szCs w:val="20"/>
        </w:rPr>
        <w:t>) 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criteria </w:t>
      </w:r>
      <w:r>
        <w:rPr>
          <w:rFonts w:ascii="Times New Roman" w:hAnsi="Times New Roman" w:cs="Times New Roman"/>
          <w:color w:val="000000"/>
          <w:sz w:val="20"/>
          <w:szCs w:val="20"/>
        </w:rPr>
        <w:t>and principles for appointment of nominated members of the National Assembly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under section 33 of the Constitution shall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mutatis mutandis </w:t>
      </w:r>
      <w:r>
        <w:rPr>
          <w:rFonts w:ascii="Times New Roman" w:hAnsi="Times New Roman" w:cs="Times New Roman"/>
          <w:color w:val="000000"/>
          <w:sz w:val="20"/>
          <w:szCs w:val="20"/>
        </w:rPr>
        <w:t>apply to the nomination of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councillors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 this section”.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27 on the other hand provides that: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…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(2) The term of office of every nominated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councillor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nominated under section 26(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shall be five years or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shorter period as the minister may, at the time of nomination, specify: Provided that the ministry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may at any time in his discretion terminate the nomination of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councillor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notice in writing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delivered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councillor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and thereupon this office shall become vacant”.</w:t>
      </w:r>
      <w:r w:rsidR="003F10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am urged to find that where the Minister revokes a </w:t>
      </w:r>
      <w:proofErr w:type="spellStart"/>
      <w:r>
        <w:rPr>
          <w:rFonts w:ascii="Times New Roman" w:hAnsi="Times New Roman" w:cs="Times New Roman"/>
          <w:color w:val="000000"/>
        </w:rPr>
        <w:t>councillor’s</w:t>
      </w:r>
      <w:proofErr w:type="spellEnd"/>
      <w:r>
        <w:rPr>
          <w:rFonts w:ascii="Times New Roman" w:hAnsi="Times New Roman" w:cs="Times New Roman"/>
          <w:color w:val="000000"/>
        </w:rPr>
        <w:t xml:space="preserve"> nomination, he ought to deliver notice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 xml:space="preserve"> is not such notice. Further, that the proviso to section 27(2) is repugnant to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23 of the Constitution and should not be allowed to stand.</w:t>
      </w:r>
      <w:r w:rsidR="003F10D9">
        <w:rPr>
          <w:rFonts w:ascii="Times New Roman" w:hAnsi="Times New Roman" w:cs="Times New Roman"/>
          <w:color w:val="000000"/>
        </w:rPr>
        <w:t xml:space="preserve"> </w:t>
      </w:r>
    </w:p>
    <w:p w:rsidR="003F10D9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Respondent’s case</w:t>
      </w:r>
      <w:r w:rsidR="003F10D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Before</w:t>
      </w:r>
      <w:proofErr w:type="gramEnd"/>
      <w:r>
        <w:rPr>
          <w:rFonts w:ascii="Times New Roman" w:hAnsi="Times New Roman" w:cs="Times New Roman"/>
          <w:color w:val="000000"/>
        </w:rPr>
        <w:t xml:space="preserve"> I turn to the case as argued for the Minister and the Attorney-General, I should note here that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Electoral Commission of Kenya appeared in this matter as an interested party and correctly so.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Commission’s take on the application as submitted by Miss </w:t>
      </w:r>
      <w:r>
        <w:rPr>
          <w:rFonts w:ascii="Times New Roman" w:hAnsi="Times New Roman" w:cs="Times New Roman"/>
          <w:i/>
          <w:iCs/>
          <w:color w:val="000000"/>
        </w:rPr>
        <w:t xml:space="preserve">Keli </w:t>
      </w:r>
      <w:r>
        <w:rPr>
          <w:rFonts w:ascii="Times New Roman" w:hAnsi="Times New Roman" w:cs="Times New Roman"/>
          <w:color w:val="000000"/>
        </w:rPr>
        <w:t>was really simple; it was not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consulted on the revocation and it discharged its mandate in law by forwarding the Applicant’s name to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Minister. On the substance of the application itself, her words were, “ECK acted within the law. We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not oppose the application”.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Respondents were however, of a totally different view.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Meso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appeared on their behalf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 that the tenure of the proviso to section 27(2) is to water down what section 26(2) provide. 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submitted that consultation with the Electoral Commission of Kenya is only in certain instances for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example in sections 9 and 10 of the Act, but not in revocation of nominations. Section 9 relates to powers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Minister with respect to counties and section 10 relates to electoral areas.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also urged to find that contrary to the submissions by the Applicant’s Counsel, section 27(2) is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unconstitutional. It merely vests discretionary power on the Minister and he exercised it lawfully in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case.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point now brings me to my own appreciation of the </w:t>
      </w:r>
      <w:proofErr w:type="gramStart"/>
      <w:r>
        <w:rPr>
          <w:rFonts w:ascii="Times New Roman" w:hAnsi="Times New Roman" w:cs="Times New Roman"/>
          <w:color w:val="000000"/>
        </w:rPr>
        <w:t>matter.</w:t>
      </w:r>
      <w:proofErr w:type="gramEnd"/>
      <w:r>
        <w:rPr>
          <w:rFonts w:ascii="Times New Roman" w:hAnsi="Times New Roman" w:cs="Times New Roman"/>
          <w:color w:val="000000"/>
        </w:rPr>
        <w:t xml:space="preserve"> I must note from the outset that I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appreciate the reasoning of learned counsel and whichever way I rule, it would not be because of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inadequate persuasion on their part and if I have not referred to certain issues raised, it would not be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 found the issue(s) irrelevant.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should start, I think, by setting out the principles and </w:t>
      </w:r>
      <w:r>
        <w:rPr>
          <w:rFonts w:ascii="Times New Roman" w:hAnsi="Times New Roman" w:cs="Times New Roman"/>
          <w:i/>
          <w:iCs/>
          <w:color w:val="000000"/>
        </w:rPr>
        <w:t xml:space="preserve">criteria </w:t>
      </w:r>
      <w:r>
        <w:rPr>
          <w:rFonts w:ascii="Times New Roman" w:hAnsi="Times New Roman" w:cs="Times New Roman"/>
          <w:color w:val="000000"/>
        </w:rPr>
        <w:t xml:space="preserve">for the nomination of </w:t>
      </w:r>
      <w:proofErr w:type="spellStart"/>
      <w:r>
        <w:rPr>
          <w:rFonts w:ascii="Times New Roman" w:hAnsi="Times New Roman" w:cs="Times New Roman"/>
          <w:color w:val="000000"/>
        </w:rPr>
        <w:t>councillors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proceed to look at the powers of the Minister and then see whether in this case they were properly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applied. I shall thereafter look at whether the Applicant for the reasons that I shall give is entitled to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he has sought from this Court.</w:t>
      </w:r>
      <w:r w:rsidR="003F10D9">
        <w:rPr>
          <w:rFonts w:ascii="Times New Roman" w:hAnsi="Times New Roman" w:cs="Times New Roman"/>
          <w:color w:val="000000"/>
        </w:rPr>
        <w:t xml:space="preserve"> </w:t>
      </w:r>
    </w:p>
    <w:p w:rsidR="003F10D9" w:rsidRDefault="003F10D9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3F10D9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Principles and process of nominating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councillors</w:t>
      </w:r>
      <w:proofErr w:type="spellEnd"/>
      <w:r w:rsidR="003F10D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matter as I see it in this regard is very clear. Section 26(2) of the Local Government Act refers us to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33 off the Constitution with regard to the </w:t>
      </w:r>
      <w:r>
        <w:rPr>
          <w:rFonts w:ascii="Times New Roman" w:hAnsi="Times New Roman" w:cs="Times New Roman"/>
          <w:i/>
          <w:iCs/>
          <w:color w:val="000000"/>
        </w:rPr>
        <w:t xml:space="preserve">criteria </w:t>
      </w:r>
      <w:r>
        <w:rPr>
          <w:rFonts w:ascii="Times New Roman" w:hAnsi="Times New Roman" w:cs="Times New Roman"/>
          <w:color w:val="000000"/>
        </w:rPr>
        <w:t>and the principles applicable.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33 of the Constitution is the mother section as it were and there are a number of issues that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arise from it.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where the word “President” appears in section 33 of the Constitution the word “Minister”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be inserted to clarify section 26(2) and section 27(2) of the Act. A nominated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is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deemed to represent the government or a special interest. The person must also in any event be qualified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have been elected a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nomination is initiated by Parliamentary political parties based on certain proportions agreed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with the Electoral Commission of Kenya. My understanding is that the base figure is the number of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elected </w:t>
      </w:r>
      <w:proofErr w:type="spellStart"/>
      <w:r>
        <w:rPr>
          <w:rFonts w:ascii="Times New Roman" w:hAnsi="Times New Roman" w:cs="Times New Roman"/>
          <w:color w:val="000000"/>
        </w:rPr>
        <w:t>councillors</w:t>
      </w:r>
      <w:proofErr w:type="spellEnd"/>
      <w:r>
        <w:rPr>
          <w:rFonts w:ascii="Times New Roman" w:hAnsi="Times New Roman" w:cs="Times New Roman"/>
          <w:color w:val="000000"/>
        </w:rPr>
        <w:t xml:space="preserve"> in the Municipality and the Electoral Commission would ordinarily do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mathematics and ask parties to send in a specified number of names to form the lot of nominated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councillors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Once the Electoral Commission has received the proposed names, it vets them to ensure that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qualifications are met and taking into account a general </w:t>
      </w:r>
      <w:r>
        <w:rPr>
          <w:rFonts w:ascii="Times New Roman" w:hAnsi="Times New Roman" w:cs="Times New Roman"/>
          <w:i/>
          <w:iCs/>
          <w:color w:val="000000"/>
        </w:rPr>
        <w:t>criteria</w:t>
      </w:r>
      <w:r>
        <w:rPr>
          <w:rFonts w:ascii="Times New Roman" w:hAnsi="Times New Roman" w:cs="Times New Roman"/>
          <w:color w:val="000000"/>
        </w:rPr>
        <w:t>, gender equality, which frankly in my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is yet to be met as a target for bringing women into mainstream leadership. Upon confirming that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candidate meets all the </w:t>
      </w:r>
      <w:r>
        <w:rPr>
          <w:rFonts w:ascii="Times New Roman" w:hAnsi="Times New Roman" w:cs="Times New Roman"/>
          <w:i/>
          <w:iCs/>
          <w:color w:val="000000"/>
        </w:rPr>
        <w:t xml:space="preserve">criteria </w:t>
      </w:r>
      <w:r>
        <w:rPr>
          <w:rFonts w:ascii="Times New Roman" w:hAnsi="Times New Roman" w:cs="Times New Roman"/>
          <w:color w:val="000000"/>
        </w:rPr>
        <w:t xml:space="preserve">set, the name is forwarded to the Minister for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the appointment process comes to an end.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these things were done in this case but the issue before me is whether the Minister having initially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nominated the Applicant, can also revoke that nomination. The issue begs an answer in that if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 and all parties concerned should apply the principles I have set out above as envisaged by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33 of the Constitution, can he have extra power under statute to revoke such nomination?</w:t>
      </w:r>
      <w:r w:rsidR="003F10D9">
        <w:rPr>
          <w:rFonts w:ascii="Times New Roman" w:hAnsi="Times New Roman" w:cs="Times New Roman"/>
          <w:color w:val="000000"/>
        </w:rPr>
        <w:t xml:space="preserve"> </w:t>
      </w:r>
    </w:p>
    <w:p w:rsidR="003F10D9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Power of the Minister</w:t>
      </w:r>
      <w:r w:rsidR="003F10D9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set out the process by which a nominated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comes to be such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Minister’s role as I gather is to appoint the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by the formal process of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he has as I have said, the power to revoke the nomination and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Meso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wording in the proviso to section 27(2) is such that whereas in nominations, parliamentary political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and the Electoral Commission of Kenya are consulted, in revocation, the Minister acts “in his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discretion” “at any time”. The only other issue is that the notice to revoke shall be delivered to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 and in any event it must be in writing.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doubt that in invoking the powers to revoke the nomination the Minister may have had good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and he was acting within the law. I note however, that he did not deliver the notice in writing to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as is required. An advertisement or notice to the world in the nature of a Kenya Gazette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is not in my view such notice as is required by section 27(2). I shall return to this point shortly.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that I must now confront and which keeps slipping from my grasp is this, is section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27(2) inconsistent with section 33 of the Constitution? If so, should I declare that section 33 is superior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therefore any acts purportedly done under section 27(2) of the Act are void to the extent of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inconsistency?</w:t>
      </w:r>
      <w:r w:rsidR="003F10D9">
        <w:rPr>
          <w:rFonts w:ascii="Times New Roman" w:hAnsi="Times New Roman" w:cs="Times New Roman"/>
          <w:color w:val="000000"/>
        </w:rPr>
        <w:t xml:space="preserve"> </w:t>
      </w:r>
    </w:p>
    <w:p w:rsidR="003F10D9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Section 33 of the Constitution and section 27(2) of Local Government Act</w:t>
      </w:r>
      <w:r w:rsidR="003F10D9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matter as I said earlier raises the interesting question that I have posed above and in trying to answer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it, I attempted to look for guidance in matters of a similar nature and was unsuccessful. Parties did not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quote any authority where this or other courts have addressed this apparent conflict of laws. I am left as it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to swim through uncharted waters, assuming that is the correct position. I also assume that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why the issue may not have previously arisen or become notorious is that the 2002 General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 is only the second time after the section of the constitutional amendment that the issue of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nomination of </w:t>
      </w:r>
      <w:proofErr w:type="spellStart"/>
      <w:r>
        <w:rPr>
          <w:rFonts w:ascii="Times New Roman" w:hAnsi="Times New Roman" w:cs="Times New Roman"/>
          <w:color w:val="000000"/>
        </w:rPr>
        <w:t>councillors</w:t>
      </w:r>
      <w:proofErr w:type="spellEnd"/>
      <w:r>
        <w:rPr>
          <w:rFonts w:ascii="Times New Roman" w:hAnsi="Times New Roman" w:cs="Times New Roman"/>
          <w:color w:val="000000"/>
        </w:rPr>
        <w:t xml:space="preserve"> is being undertaken.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33 of the Constitution was part of the now famous Inter Parties Parliamentary Group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(“IPPG”) negotiations when Kenya was going through fundamental changes on the political scene and as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expected, certain laws had to change to reflect the changing political scenario. One of the changes had to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matter of nominated members of the National Assembly. Prior to Act number 7 of 1997 which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introduced section 33 aforesaid, the President would appoint nominated members of the National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without consultations with any other person or authority. With the increasingly influential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political parties continuing their assault on the powers of the President, it was agreed that nominated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of Parliament should be nominated from all Parliamentary political parties and should in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 represent special interests and ensure gender equality (as far as possible!).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procedure as I set out at paragraph 19-21 above was then enacted to ensure that political parties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President do not nominate persons who do not meet the </w:t>
      </w:r>
      <w:r>
        <w:rPr>
          <w:rFonts w:ascii="Times New Roman" w:hAnsi="Times New Roman" w:cs="Times New Roman"/>
          <w:i/>
          <w:iCs/>
          <w:color w:val="000000"/>
        </w:rPr>
        <w:t xml:space="preserve">criteria </w:t>
      </w:r>
      <w:r>
        <w:rPr>
          <w:rFonts w:ascii="Times New Roman" w:hAnsi="Times New Roman" w:cs="Times New Roman"/>
          <w:color w:val="000000"/>
        </w:rPr>
        <w:t>set out by the new section.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Electoral Commission of Kenya was the supervisory body charged with the responsibility to ensure that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complied. Discretion was in effect removed from the President and his duty under section 33(4) was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receive the vetted names and appoint under section 33(1). That is as much as I can say about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history of section 33.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section 26(2) of the Local Government Act, again it too, was a product of the Inter Parties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Parliamentary Group (“IPPG”) negotiations. By Act number 10 of 1997, section 26(2) was inserted in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which I set out at paragraph 9 above. The effect was therefore that the criteria and principles set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 in section 33 of the Constitution were applied </w:t>
      </w:r>
      <w:r>
        <w:rPr>
          <w:rFonts w:ascii="Times New Roman" w:hAnsi="Times New Roman" w:cs="Times New Roman"/>
          <w:i/>
          <w:iCs/>
          <w:color w:val="000000"/>
        </w:rPr>
        <w:t xml:space="preserve">mutatis mutandis </w:t>
      </w:r>
      <w:r>
        <w:rPr>
          <w:rFonts w:ascii="Times New Roman" w:hAnsi="Times New Roman" w:cs="Times New Roman"/>
          <w:color w:val="000000"/>
        </w:rPr>
        <w:t xml:space="preserve">to the nomination of </w:t>
      </w:r>
      <w:proofErr w:type="spellStart"/>
      <w:r>
        <w:rPr>
          <w:rFonts w:ascii="Times New Roman" w:hAnsi="Times New Roman" w:cs="Times New Roman"/>
          <w:color w:val="000000"/>
        </w:rPr>
        <w:t>councillors</w:t>
      </w:r>
      <w:proofErr w:type="spellEnd"/>
      <w:r>
        <w:rPr>
          <w:rFonts w:ascii="Times New Roman" w:hAnsi="Times New Roman" w:cs="Times New Roman"/>
          <w:color w:val="000000"/>
        </w:rPr>
        <w:t>.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spirit, as I understand it is to ensure that the Minister of Local Government like the President with regard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National Assembly did not exercise these powers to the exclusion of all other parties. Therefore,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addition of section 26, he too is limited in his powers and all he can do is receive the vetted names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appoint by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 xml:space="preserve"> in the Kenya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>
        <w:rPr>
          <w:rFonts w:ascii="Times New Roman" w:hAnsi="Times New Roman" w:cs="Times New Roman"/>
          <w:color w:val="000000"/>
        </w:rPr>
        <w:t>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must at this point note that the general effect of Act number 10 of 1997 was to drastically reduce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of the Minister under the Act with regard to elections and post-election matters. To illustrate this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point, I should refer to section 12, which initially gave the Minister power (alone to establish municipal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councils. The powerful amendment was to the effect that when he does so, he shall “consult with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Electoral Commission”. The same is true of the amendment to section 28 (with regard to establishment of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county and from councils) and urban councils under section 41.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drastically perhaps is the power of the Minister to make rules to determine the qualifications of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under section 53A. This power was taken from the Minister to the Electoral Commission.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also true of the General Power to make rules under section 53C of the Act.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section 54 where it was previously the duty of the Minister to alter electoral areas as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“appropriate authority” the power was even much earlier taken away from him by Act number 1 of 1992.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am I saying? I am saying that two clear issues arise from the amendments; firstly, the discretion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to the Minister was either taken away or made subject to consultations; and secondly,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in section 33 of the Constitution must be adhered to in all cases of nominations.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to my mind convinced that it would be against the spirit of section 33 of the Constitution to allow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consultations up to the point of appointment and then allow the Minister to revoke the appointment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without the same process of consultation. The President cannot do that under section 33 and </w:t>
      </w:r>
      <w:r>
        <w:rPr>
          <w:rFonts w:ascii="Times New Roman" w:hAnsi="Times New Roman" w:cs="Times New Roman"/>
          <w:i/>
          <w:iCs/>
          <w:color w:val="000000"/>
        </w:rPr>
        <w:t>mutatis</w:t>
      </w:r>
      <w:r w:rsidR="003F10D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mutandis </w:t>
      </w:r>
      <w:r>
        <w:rPr>
          <w:rFonts w:ascii="Times New Roman" w:hAnsi="Times New Roman" w:cs="Times New Roman"/>
          <w:color w:val="000000"/>
        </w:rPr>
        <w:t>the Minister should not do that under statute in spite of the express provisions of section 27(2)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Act.</w:t>
      </w:r>
      <w:r w:rsidR="003F10D9">
        <w:rPr>
          <w:rFonts w:ascii="Times New Roman" w:hAnsi="Times New Roman" w:cs="Times New Roman"/>
          <w:color w:val="000000"/>
        </w:rPr>
        <w:t xml:space="preserve"> </w:t>
      </w:r>
    </w:p>
    <w:p w:rsidR="003F10D9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Without </w:t>
      </w:r>
      <w:proofErr w:type="spellStart"/>
      <w:r>
        <w:rPr>
          <w:rFonts w:ascii="Times New Roman" w:hAnsi="Times New Roman" w:cs="Times New Roman"/>
          <w:color w:val="000000"/>
        </w:rPr>
        <w:t>belabouring</w:t>
      </w:r>
      <w:proofErr w:type="spellEnd"/>
      <w:r>
        <w:rPr>
          <w:rFonts w:ascii="Times New Roman" w:hAnsi="Times New Roman" w:cs="Times New Roman"/>
          <w:color w:val="000000"/>
        </w:rPr>
        <w:t xml:space="preserve"> the point, the proviso to section 27(2) in as far as it purports to contradict section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33 of the Constitution is inconsistent and I so declare. I am fortified in this finding by the fact that section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27(2) was itself a creation of Act number 11 of 1984 and yet section 33 of the Constitution and section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26(2) of the Act all came into being vide Act number 7 and Act number 10 of 1997 respectively. The last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should prevail in any event, and in this case a constitutional amendment subsequent to a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amendment is always superior.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 law is inconsistent with the Constitution, then the Constitution shall prevail (section 3 of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Constitution). In this case, section 33 shall prevail and section 33 has no revocation clause.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revocation clause under section 27(2) is void.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being the case, section 27(2) gives the term of a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who is nominated to be five years or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shorter period as the Minister may determine, and I find that in the Applicant’s case, the term is five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years or such period as was specified on appointment. No more, no less!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also note two other issues, which are important in determining this matter. There was no notice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given to the Applicant on revocation but since I have ruled that the </w:t>
      </w:r>
      <w:r>
        <w:rPr>
          <w:rFonts w:ascii="Times New Roman" w:hAnsi="Times New Roman" w:cs="Times New Roman"/>
          <w:i/>
          <w:iCs/>
          <w:color w:val="000000"/>
        </w:rPr>
        <w:t xml:space="preserve">proviso </w:t>
      </w:r>
      <w:r>
        <w:rPr>
          <w:rFonts w:ascii="Times New Roman" w:hAnsi="Times New Roman" w:cs="Times New Roman"/>
          <w:color w:val="000000"/>
        </w:rPr>
        <w:t>in which the notice is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predicated is itself void, then the issue would rest there. Secondly, the Minister proceeded to appoint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another </w:t>
      </w:r>
      <w:proofErr w:type="spellStart"/>
      <w:r>
        <w:rPr>
          <w:rFonts w:ascii="Times New Roman" w:hAnsi="Times New Roman" w:cs="Times New Roman"/>
          <w:color w:val="000000"/>
        </w:rPr>
        <w:t>councillor</w:t>
      </w:r>
      <w:proofErr w:type="spellEnd"/>
      <w:r>
        <w:rPr>
          <w:rFonts w:ascii="Times New Roman" w:hAnsi="Times New Roman" w:cs="Times New Roman"/>
          <w:color w:val="000000"/>
        </w:rPr>
        <w:t xml:space="preserve"> in the place of the Applicant. I have not been told what procedure was used to do the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save for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>. It would seem from the annexures to the Applicant’s affidavit that the Minister did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in this case follow the procedure I have so elaborately set out in this ruling. In effect the appointment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Fred </w:t>
      </w:r>
      <w:proofErr w:type="spellStart"/>
      <w:r>
        <w:rPr>
          <w:rFonts w:ascii="Times New Roman" w:hAnsi="Times New Roman" w:cs="Times New Roman"/>
          <w:color w:val="000000"/>
        </w:rPr>
        <w:t>Oyucho</w:t>
      </w:r>
      <w:proofErr w:type="spellEnd"/>
      <w:r>
        <w:rPr>
          <w:rFonts w:ascii="Times New Roman" w:hAnsi="Times New Roman" w:cs="Times New Roman"/>
          <w:color w:val="000000"/>
        </w:rPr>
        <w:t xml:space="preserve"> is itself illegal and should not stand.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shall now come to a close by answering the question whether the Applicant is entitled to the orders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judicial review.</w:t>
      </w:r>
      <w:r w:rsidR="003F10D9">
        <w:rPr>
          <w:rFonts w:ascii="Times New Roman" w:hAnsi="Times New Roman" w:cs="Times New Roman"/>
          <w:color w:val="000000"/>
        </w:rPr>
        <w:t xml:space="preserve"> </w:t>
      </w:r>
    </w:p>
    <w:p w:rsidR="00516EC6" w:rsidRDefault="00516EC6" w:rsidP="003F10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Conclusion</w:t>
      </w:r>
      <w:r w:rsidR="003F10D9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am being asked to issue orders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>. As I understand it, an order of that nature is issued where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example a decision is void and one that cannot be given the clothing of law. It applies for example in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case such as this one to remove and quash decisions of a government Minister.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have found that the decision is inconsistent with section 33 of the Constitution, I am satisfied that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a matter where I can without hesitation grant the orders sought.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prayers (a), (b) and (c) of the notice of motion dated 5 August 2002 are hereby granted.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effect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 xml:space="preserve">notice numbers 4200 and 4201 contained in the 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of 20 June 2003 are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hereby removed to this Court and the decisions contained therein stand quashed. Costs shall be paid by</w:t>
      </w:r>
      <w:r w:rsidR="003F10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Respondents.</w:t>
      </w:r>
    </w:p>
    <w:p w:rsidR="00516EC6" w:rsidRDefault="00516EC6" w:rsidP="00516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Orders accordingly.</w:t>
      </w:r>
    </w:p>
    <w:p w:rsidR="00516EC6" w:rsidRDefault="00516EC6" w:rsidP="00516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Interested Party:</w:t>
      </w:r>
    </w:p>
    <w:p w:rsidR="00516EC6" w:rsidRDefault="00516EC6" w:rsidP="00516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Keli</w:t>
      </w:r>
    </w:p>
    <w:p w:rsidR="00516EC6" w:rsidRDefault="00516EC6" w:rsidP="00516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516EC6" w:rsidRDefault="00516EC6" w:rsidP="00516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JAB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JAB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516EC6" w:rsidRDefault="00516EC6" w:rsidP="00516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the Respondents:</w:t>
      </w:r>
    </w:p>
    <w:p w:rsidR="00575C55" w:rsidRDefault="00516EC6" w:rsidP="00516EC6">
      <w:proofErr w:type="spellStart"/>
      <w:r>
        <w:rPr>
          <w:rFonts w:ascii="Times New Roman" w:hAnsi="Times New Roman" w:cs="Times New Roman"/>
          <w:i/>
          <w:iCs/>
          <w:color w:val="000000"/>
        </w:rPr>
        <w:t>Meso</w:t>
      </w:r>
      <w:proofErr w:type="spellEnd"/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C6"/>
    <w:rsid w:val="003F10D9"/>
    <w:rsid w:val="00516EC6"/>
    <w:rsid w:val="0057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C8802-4DBE-4104-B129-8D02D3AA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2805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2018-07-04T18:21:00Z</dcterms:created>
  <dcterms:modified xsi:type="dcterms:W3CDTF">2018-07-11T17:36:00Z</dcterms:modified>
</cp:coreProperties>
</file>