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B9" w:rsidRDefault="005650B9" w:rsidP="00E108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Owako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5650B9" w:rsidRDefault="005650B9" w:rsidP="00E108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5650B9" w:rsidRDefault="005650B9" w:rsidP="00E108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November 1974</w:t>
      </w:r>
    </w:p>
    <w:p w:rsidR="005650B9" w:rsidRDefault="005650B9" w:rsidP="00E108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79/1974 (10/75)</w:t>
      </w:r>
    </w:p>
    <w:p w:rsidR="005650B9" w:rsidRDefault="005650B9" w:rsidP="00E108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Trevelyan J</w:t>
      </w:r>
    </w:p>
    <w:p w:rsidR="005650B9" w:rsidRDefault="005650B9" w:rsidP="00E108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Autrefois acquit – Murder – Accused discharged by magistrate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preliminary inquiry – May again be charged with murder – Penal Code, s. </w:t>
      </w:r>
      <w:r>
        <w:rPr>
          <w:rFonts w:ascii="Times New Roman" w:hAnsi="Times New Roman" w:cs="Times New Roman"/>
          <w:color w:val="000000"/>
        </w:rPr>
        <w:t>239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Preliminary inquiry – Accused may be committed for trial from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more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than one preliminary enquiry.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Practice and Procedure – Preliminary inquiry – Nullity – Improper joinder of accused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does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not nullify inquiry.</w:t>
      </w:r>
    </w:p>
    <w:p w:rsidR="005650B9" w:rsidRDefault="00E10827" w:rsidP="00E108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650B9" w:rsidRDefault="005650B9" w:rsidP="00E1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Trevelyan J: </w:t>
      </w:r>
      <w:r>
        <w:rPr>
          <w:rFonts w:ascii="Times New Roman" w:hAnsi="Times New Roman" w:cs="Times New Roman"/>
          <w:color w:val="000000"/>
        </w:rPr>
        <w:t>A magistrate conducted a preliminary inquiry into a charge against the first and second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accused persons of murdering a man called Dennis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>. At the end of the day, considering that the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before him was sufficient to put the first accused upon his trial, the magistrate committed him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this court for such trial, and considering that the evidence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against the second accused was not sufficient to put him upon his trial, the magistrate discharged him.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Attorney-General filed an information for the murder against the first accused, entered a </w:t>
      </w:r>
      <w:proofErr w:type="spellStart"/>
      <w:r>
        <w:rPr>
          <w:rFonts w:ascii="Times New Roman" w:hAnsi="Times New Roman" w:cs="Times New Roman"/>
          <w:color w:val="000000"/>
        </w:rPr>
        <w:t>nolle</w:t>
      </w:r>
      <w:proofErr w:type="spellEnd"/>
      <w:r w:rsidR="00E1082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prosequi</w:t>
      </w:r>
      <w:proofErr w:type="spellEnd"/>
      <w:r>
        <w:rPr>
          <w:rFonts w:ascii="Times New Roman" w:hAnsi="Times New Roman" w:cs="Times New Roman"/>
          <w:color w:val="000000"/>
        </w:rPr>
        <w:t xml:space="preserve"> in respect of the charge, and this accused was also discharged. The third and fourth accused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arrested, and the first and second were re-arrested. A different magistrate conducted a second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inquiry into the murder, but this time there were four persons charged, namely the four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persons now before this court. Being satisfied that there was evidence before him sufficient to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put all four men on their trial for the murder, the magistrate committed them to this court for such trial,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Attorney-General filed an information charging each of them with it. The information was read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over to the accused persons, and their counsel, Mr. </w:t>
      </w:r>
      <w:proofErr w:type="spellStart"/>
      <w:r>
        <w:rPr>
          <w:rFonts w:ascii="Times New Roman" w:hAnsi="Times New Roman" w:cs="Times New Roman"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second, and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for the other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three accused, submitted on their behalf that the court ought not to take </w:t>
      </w:r>
      <w:proofErr w:type="spellStart"/>
      <w:r>
        <w:rPr>
          <w:rFonts w:ascii="Times New Roman" w:hAnsi="Times New Roman" w:cs="Times New Roman"/>
          <w:color w:val="000000"/>
        </w:rPr>
        <w:t>cognisance</w:t>
      </w:r>
      <w:proofErr w:type="spellEnd"/>
      <w:r>
        <w:rPr>
          <w:rFonts w:ascii="Times New Roman" w:hAnsi="Times New Roman" w:cs="Times New Roman"/>
          <w:color w:val="000000"/>
        </w:rPr>
        <w:t xml:space="preserve"> of it.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 xml:space="preserve"> advanced two arguments. The first was that as the second accused was discharged by the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at the first preliminary inquiry he can never again be charged with the murder, whatever else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may be charged with, and the second was that though different preliminary inquiries may be held for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accused persons in respect of the same offence, an accused person can only once be committed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trial in respect of it. Accordingly, says counsel, the first accused can only properly be before the court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 committal ordered as a result of the holding of the first preliminary inquiry. Two consequences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flowed. If the first accused is before us because of the first preliminary inquiry he should have been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in an information naming only himself, so that the proceedings before us are a nullity because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 should have been a separate information for the other accused persons, and two </w:t>
      </w:r>
      <w:proofErr w:type="spellStart"/>
      <w:r>
        <w:rPr>
          <w:rFonts w:ascii="Times New Roman" w:hAnsi="Times New Roman" w:cs="Times New Roman"/>
          <w:color w:val="000000"/>
        </w:rPr>
        <w:t>informations</w:t>
      </w:r>
      <w:proofErr w:type="spellEnd"/>
      <w:r>
        <w:rPr>
          <w:rFonts w:ascii="Times New Roman" w:hAnsi="Times New Roman" w:cs="Times New Roman"/>
          <w:color w:val="000000"/>
        </w:rPr>
        <w:t xml:space="preserve"> cannot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tried together: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Kristofa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Male </w:t>
      </w:r>
      <w:r>
        <w:rPr>
          <w:rFonts w:ascii="Times New Roman" w:hAnsi="Times New Roman" w:cs="Times New Roman"/>
          <w:color w:val="000000"/>
        </w:rPr>
        <w:t>(1934), 1 E.A.C.A. 151, whilst, if he is before us because of the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preliminary inquiry, he is wrongly before us because he had already been committed to this court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other inquiry.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associated himself with Mr. </w:t>
      </w:r>
      <w:proofErr w:type="spellStart"/>
      <w:r>
        <w:rPr>
          <w:rFonts w:ascii="Times New Roman" w:hAnsi="Times New Roman" w:cs="Times New Roman"/>
          <w:color w:val="000000"/>
        </w:rPr>
        <w:t>Kapila’s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submissions, but went further. 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a preliminary inquiry cannot be split, and, as the second inquiry which was held is a nullity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insofar as the first accused, and perhaps the second accused, are concerned, it is also a nullity in respect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third and fourth accused. In any event, says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>, the very fact of joining the third and fourth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persons with the first and second, was sufficiently prejudicial to them of itself to render the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preliminary inquiry a nullity.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can find nothing in the Criminal Procedure Code to say, or suggest, that a man may not appear at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one preliminary inquiry upon the same charge, and I can find nothing in it to say or suggest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he cannot be committed to this court more than once for it. Mr. </w:t>
      </w:r>
      <w:proofErr w:type="spellStart"/>
      <w:r>
        <w:rPr>
          <w:rFonts w:ascii="Times New Roman" w:hAnsi="Times New Roman" w:cs="Times New Roman"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 xml:space="preserve"> read, or referred me to,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eighteen sections of the Code, that is to ss. 138, 230, 231, 240, 241, 250, 251, 252, 253, 254, 255, 279,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283, 303, 304, 305, 306 and 308, but they do not support him as I read them. If we leave aside s. 138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says no more than that persons convicted or acquitted are not to be tried again for the same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offence, the sections referred to, if I may take leave to oversimplify, simply lay down when, and by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whom, a preliminary inquiry is to be held, what a magistrate holding one is to do, and what is to be done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he has made an order for </w:t>
      </w:r>
      <w:r>
        <w:rPr>
          <w:rFonts w:ascii="Times New Roman" w:hAnsi="Times New Roman" w:cs="Times New Roman"/>
          <w:color w:val="000000"/>
        </w:rPr>
        <w:lastRenderedPageBreak/>
        <w:t xml:space="preserve">committal. Mr. </w:t>
      </w:r>
      <w:proofErr w:type="spellStart"/>
      <w:r>
        <w:rPr>
          <w:rFonts w:ascii="Times New Roman" w:hAnsi="Times New Roman" w:cs="Times New Roman"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 xml:space="preserve"> referred me to such expressions as “a committal for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trial”, “a subordinate court” and “a preliminary inquiry”, saying “I stress the singular in all cases”. But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how legislation is usually drafted, the statute using the singular says what is to be done, leaving it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multiplied, in practice, as many times as is required. I am told that, apart from all else, problems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arise in relation to provisions such as those contained in ss. 303, 304 and 305 of the Code which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permit the reading of depositions as evidence and the putting in as evidence of an accused’s statement or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at the inquiry, but I see no problems arising. S. 304 cannot be used unless the accused person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agrees, and s. 303 in relation to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depositions generally, and s. 305 in respect of the accused’s evidence or statement, refer to “the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committing magistrate”, which must mean the magistrate who conducted the proceedings which led to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filing of the information which initiated the proceedings in the court of trial. Counsel says that with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one preliminary inquiry, the opportunity can be taken to use the provisions to put in evidence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depositions taken in a variety of preliminary inquiries but this is not so for the reason which I have given.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for an accused person not knowing whether the information which he faces has arisen out of one or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proceedings, I do not see how a doubt can arise. In the present case, as I understood it, until I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introduced a reference to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Kristofa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Male </w:t>
      </w:r>
      <w:r>
        <w:rPr>
          <w:rFonts w:ascii="Times New Roman" w:hAnsi="Times New Roman" w:cs="Times New Roman"/>
          <w:color w:val="000000"/>
        </w:rPr>
        <w:t>case, the argument was being put to me on the basis that each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accused was before the court on an information filed as a result of the second preliminary inquiry,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there was no doubt about it. In any event, under s. 244, an accused person is entitled at any time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trial to have a copy of the depositions on payment, or free if the Court thinks fit, and I have never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of a case where an accused in this country was made to stand trial without having a copy of the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depositions of the preliminary inquiry wherein he was committed for trial before him.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 quite unable to accept Mr. </w:t>
      </w:r>
      <w:proofErr w:type="spellStart"/>
      <w:r>
        <w:rPr>
          <w:rFonts w:ascii="Times New Roman" w:hAnsi="Times New Roman" w:cs="Times New Roman"/>
          <w:color w:val="000000"/>
        </w:rPr>
        <w:t>Otieno’s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that if a preliminary inquiry is a nullity for one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accused it </w:t>
      </w:r>
      <w:r>
        <w:rPr>
          <w:rFonts w:ascii="Times New Roman" w:hAnsi="Times New Roman" w:cs="Times New Roman"/>
          <w:i/>
          <w:iCs/>
          <w:color w:val="000000"/>
        </w:rPr>
        <w:t xml:space="preserve">must </w:t>
      </w:r>
      <w:r>
        <w:rPr>
          <w:rFonts w:ascii="Times New Roman" w:hAnsi="Times New Roman" w:cs="Times New Roman"/>
          <w:color w:val="000000"/>
        </w:rPr>
        <w:t>be so for all the accused. In the instant case, even if the second inquiry should have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excluded the first accused, there is no reason to hold that it is a nullity in respect of the third and fourth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persons, nor can it validly be said that because the third and fourth accused were jointly charged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first and second, the mere joinder was prejudicial to them or resulted in injustice. The purpose of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preliminary inquiry is to see who should, and who should not, be committed for trial, and the case of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each accused must be considered separately. Mr.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maintains that where two preliminary inquiries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held, witnesses are able to refresh their memories between the first and second of them, but apart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fact that the more times a witness relates something the more chance is there of variations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appearing, what if one of several accused persons absconds and is not apprehended for some time? Is 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 to stand trial because another man has in the meantime been charged with the offence at a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inquiry? As for the third accused having at the first inquiry given evidence against the first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accused, himself not then being an accused person, depositions are never automatically in evidence, and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the third accused’s deposition could, within the rules of admissibility be tendered in evidence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(upon which I express no view) a court has an overriding jurisdiction to disallow evidence if the strict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admissibility would operate unfairly against an accused.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accept, and I readily accept, that the entering of a </w:t>
      </w:r>
      <w:proofErr w:type="spellStart"/>
      <w:r>
        <w:rPr>
          <w:rFonts w:ascii="Times New Roman" w:hAnsi="Times New Roman" w:cs="Times New Roman"/>
          <w:color w:val="000000"/>
        </w:rPr>
        <w:t>nolle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prosequi</w:t>
      </w:r>
      <w:proofErr w:type="spellEnd"/>
      <w:r>
        <w:rPr>
          <w:rFonts w:ascii="Times New Roman" w:hAnsi="Times New Roman" w:cs="Times New Roman"/>
          <w:color w:val="000000"/>
        </w:rPr>
        <w:t xml:space="preserve"> in respect of a charge contained in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information does not discharge the proceedings at the preliminary inquiry, but it is common practice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England to direct that an indictment shall remain upon the record to await further orders, and I do not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 why the record of a preliminary inquiry should not remain on the file in the same way. There can be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prejudice to an accused person if this is done.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argument that when a man has been discharged at a preliminary inquiry he cannot ever again be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with the same offence, is raised on the foundation of the provisions of s. 239 of the Criminal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Code. The section reads: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“239. If, at the close of the case for the prosecution, or after hearing any evidence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 court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considers that the evidence against the accused person is not sufficient to put him on his trial, the court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forthwith order him to be discharged as to the particular charge under inquiry; but such discharge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not be a bar to any subsequent charge in respect of the same facts.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nothing contained in this section shall prevent the court from either forthwith, or after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adjournment of the inquiry as may seem expedient in the interest of justice, proceeding to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investigate any other charge upon which the accused person may have been summoned or otherwise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brought before it, or which, in the course of the charge so dismissed as aforesaid, it may appear that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accused person has committed.”</w:t>
      </w:r>
      <w:r w:rsidR="00E108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Kapila</w:t>
      </w:r>
      <w:proofErr w:type="spellEnd"/>
      <w:r>
        <w:rPr>
          <w:rFonts w:ascii="Times New Roman" w:hAnsi="Times New Roman" w:cs="Times New Roman"/>
          <w:color w:val="000000"/>
        </w:rPr>
        <w:t xml:space="preserve"> relies especially on the words, “particular charge under inquiry” and “in respect of the same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facts” where they appear before, and the words “any other charge” and “the charge so dismissed as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aforesaid” where they appear in the proviso, and says that once a magistrate has discharged an accused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person upon the charge under inquiry, that charge can never again be brought against him, though some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applicable charge may be brought, say manslaughter or perhaps conspiracy to murder on a charge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murder. With respect it ought not to be so, and, in my view, it is not so. I trust that counsel will acquit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 of discourtesy when I say that the fallacy in his argument, as I read the section, is that he seeks to use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proviso to restrict the scope of its substantive part, when, what the proviso does is to widen it. The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substantive part of the section, which, it may be noted does not, for all the proviso says, use the word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“dismiss”, </w:t>
      </w:r>
      <w:proofErr w:type="gramStart"/>
      <w:r>
        <w:rPr>
          <w:rFonts w:ascii="Times New Roman" w:hAnsi="Times New Roman" w:cs="Times New Roman"/>
          <w:color w:val="000000"/>
        </w:rPr>
        <w:t>says</w:t>
      </w:r>
      <w:proofErr w:type="gramEnd"/>
      <w:r>
        <w:rPr>
          <w:rFonts w:ascii="Times New Roman" w:hAnsi="Times New Roman" w:cs="Times New Roman"/>
          <w:color w:val="000000"/>
        </w:rPr>
        <w:t xml:space="preserve"> that the discharge of “the particular charge under inquiry” shall not be a bar to “any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 charge in respect of the same facts”. The reference to the “particular” charge does no more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to pin-point it, and the word “any” is entitled to its full and proper definition. The scope of the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proviso is clear from its opening words that “Nothing contained in this section shall prevent the court”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doing what the proviso permits. What the proviso permits is an investigation into “any other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charge” within its contemplation. It can also perhaps be argued that the word “particular” was inserted to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cover a situation where several charges are put against an accused person at an inquiry. But it may not be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so, and I express no concluded view upon it.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Rebello</w:t>
      </w:r>
      <w:proofErr w:type="spellEnd"/>
      <w:r>
        <w:rPr>
          <w:rFonts w:ascii="Times New Roman" w:hAnsi="Times New Roman" w:cs="Times New Roman"/>
          <w:color w:val="000000"/>
        </w:rPr>
        <w:t xml:space="preserve">, for the Republic, referred us to a Canadian case,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Hannay</w:t>
      </w:r>
      <w:proofErr w:type="spellEnd"/>
      <w:r>
        <w:rPr>
          <w:rFonts w:ascii="Times New Roman" w:hAnsi="Times New Roman" w:cs="Times New Roman"/>
          <w:color w:val="000000"/>
        </w:rPr>
        <w:t>, 2 W.L.R. 543. We do not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 full report of the case, but, according to its digest in case number 1168 on p. 226 of Volume 14 of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English and Empire Digest, the facts and finding were these. The accused was charged with theft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two justices, and they, after a preliminary inquiry directed by the Criminal Code, discharged him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they were of the opinion that no sufficient case was made out to put him upon his trial. Subsequently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information on the same charge was laid against him and after a second preliminary inquiry he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committed for trial. It was objected that there was no jurisdiction in any magistrate to hear such a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twice, and much more so in the case of the same magistrates who had dismissed it, but it was held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preliminary inquiry is not final in its nature and that at common law a dismissal by magistrates is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tantamount to an acquittal upon indictment. We do not know what the Criminal Code lays down, and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concerned not with the common law, but with our own legislation. But the case, as digested, does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 for what it is worth, to support what I have said.</w:t>
      </w:r>
      <w:r w:rsidR="00E1082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disallow the objection and rule that the impugned information is properly before the court.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Republic: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Rebelo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(Senior State Counsel)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accused:</w:t>
      </w:r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Kapila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Dhanji</w:t>
      </w:r>
      <w:proofErr w:type="spellEnd"/>
    </w:p>
    <w:p w:rsidR="005650B9" w:rsidRDefault="005650B9" w:rsidP="00565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first, third, and fourth accused:</w:t>
      </w:r>
    </w:p>
    <w:p w:rsidR="00E43AAB" w:rsidRDefault="005650B9" w:rsidP="005650B9">
      <w:r>
        <w:rPr>
          <w:rFonts w:ascii="Times New Roman" w:hAnsi="Times New Roman" w:cs="Times New Roman"/>
          <w:i/>
          <w:iCs/>
          <w:color w:val="000000"/>
        </w:rPr>
        <w:t>JW Onyango-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Otieno</w:t>
      </w:r>
      <w:proofErr w:type="spellEnd"/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B9"/>
    <w:rsid w:val="005650B9"/>
    <w:rsid w:val="00B26BE4"/>
    <w:rsid w:val="00E10827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5158B-5CDB-460A-82F0-C21E5AAD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2018-07-06T12:42:00Z</dcterms:created>
  <dcterms:modified xsi:type="dcterms:W3CDTF">2018-07-13T18:37:00Z</dcterms:modified>
</cp:coreProperties>
</file>