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Republic v Permanent Secretary/Secretary to the Cabinet and Head of Public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Service Office of the President and another </w:t>
      </w:r>
      <w:r>
        <w:rPr>
          <w:rFonts w:ascii="Times New Roman" w:hAnsi="Times New Roman" w:cs="Times New Roman"/>
          <w:b/>
          <w:bCs/>
          <w:i/>
          <w:iCs/>
          <w:color w:val="000080"/>
          <w:sz w:val="28"/>
          <w:szCs w:val="28"/>
        </w:rPr>
        <w:t xml:space="preserve">ex parte </w:t>
      </w: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Ng’ang’a and others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5 July 2006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612/04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Visram J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R Rogo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Whether judicial review is bar to other remedies – When prohibition remedy applied – When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remedy of certiorari applies.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Whether Minister can transfer an employee of a state corporation.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applicant, </w:t>
      </w:r>
      <w:r>
        <w:rPr>
          <w:rFonts w:ascii="Times New Roman" w:hAnsi="Times New Roman" w:cs="Times New Roman"/>
          <w:i/>
          <w:iCs/>
          <w:color w:val="000000"/>
        </w:rPr>
        <w:t xml:space="preserve">vide </w:t>
      </w:r>
      <w:r>
        <w:rPr>
          <w:rFonts w:ascii="Times New Roman" w:hAnsi="Times New Roman" w:cs="Times New Roman"/>
          <w:color w:val="000000"/>
        </w:rPr>
        <w:t>a letter of appointment from the interested party herein was appointed as the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Director of the Kenya National Library Services (KNLS).</w:t>
      </w:r>
    </w:p>
    <w:p w:rsidR="00C564F1" w:rsidRDefault="00A04BCE" w:rsidP="00C5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Later, the Minister for Gender, Sports and Culture, after friction with him, wrote a memo to the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Permanent Secretary, Ministry of Gender, Sports, Culture and Social Services stating that it was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necessary that disciplinary action be taken against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applicant for engaging in “acts of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insubordination”.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applicant then received a letter from the Ministry informing him that he had been posted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Ministry of Trade and Industry (KIPO) as Chief Documentalist/Information Officer. He filed thus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judicial review application alleging that the actions by the Permanent Secretary in the Ministry and the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Permanent Secretary, Office of the President were prejudicial, an abuse of the process and a breach of the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of natural justice.</w:t>
      </w:r>
      <w:r w:rsidR="00C564F1">
        <w:rPr>
          <w:rFonts w:ascii="Times New Roman" w:hAnsi="Times New Roman" w:cs="Times New Roman"/>
          <w:color w:val="000000"/>
        </w:rPr>
        <w:t xml:space="preserve"> </w:t>
      </w:r>
    </w:p>
    <w:p w:rsidR="00C564F1" w:rsidRDefault="00C564F1" w:rsidP="00C5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04BCE" w:rsidRDefault="00A04BCE" w:rsidP="00C564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purpose of judicial review is to check that public bodies do not exceed their jurisdiction and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carry out their duties in a manner that is detrimental to the public at large. The institution of a judicial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review suit is not a bar to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seeking other forms of relief as judicial reviews posit that as soon as a public body exceeds its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jurisdiction, or acts unfairly, or disregards the principles of natural justice, then the very act of the public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body must be scrutinised.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prohibition order forbids a tribunal or body to continue in excess of its jurisdiction or in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contravention of the laws of the land. Prohibition cannot quash a decision which has already been made,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can only prevent the making of a contemplated decision.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Only an order for </w:t>
      </w:r>
      <w:r>
        <w:rPr>
          <w:rFonts w:ascii="Times New Roman" w:hAnsi="Times New Roman" w:cs="Times New Roman"/>
          <w:i/>
          <w:iCs/>
          <w:color w:val="000000"/>
        </w:rPr>
        <w:t xml:space="preserve">certiorari </w:t>
      </w:r>
      <w:r>
        <w:rPr>
          <w:rFonts w:ascii="Times New Roman" w:hAnsi="Times New Roman" w:cs="Times New Roman"/>
          <w:color w:val="000000"/>
        </w:rPr>
        <w:t>can quash a decision already made and, it is issued if the decision is made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or in excess of jurisdiction, or where the rules of natural justice are not complied with. The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Ministry has a major role to play in the administration of the KNLS Board by virtue of section 4 of The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State Corporations Act (Chapter 446). The role of the Public Service Commission cannot be downplayed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KNLS under section 4 of Kenya National Library Services Board Act (Chapter 225) carries out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functions of public nature, thereby making its affairs those in public service. As such, the hiring,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discipline and removal of officers from offices in the public service is vested in the Public Service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Commission. Thus, the minister, together with his counterpart, the Head of Civil Service, were within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their ambit in deciding to transfer the applicant.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no “statutory protection” afforded to the applicant as the Director of KNLS. His terms of</w:t>
      </w:r>
      <w:r w:rsidR="00C564F1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employment were intended to be governed in the letter of appointment.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Apollo Richard Oluoch v Kenya National Library Services </w:t>
      </w:r>
      <w:r>
        <w:rPr>
          <w:rFonts w:ascii="Times New Roman" w:hAnsi="Times New Roman" w:cs="Times New Roman"/>
          <w:color w:val="000000"/>
        </w:rPr>
        <w:t>High Court civil case number 1299 of 1990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Charles Kariuki Wambugu v The Kenya National Library Service Board </w:t>
      </w:r>
      <w:r>
        <w:rPr>
          <w:rFonts w:ascii="Times New Roman" w:hAnsi="Times New Roman" w:cs="Times New Roman"/>
          <w:color w:val="000000"/>
        </w:rPr>
        <w:t>High Court civil case number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2013 of 1989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Eric J Makokha and others v Lawrence Sagini and others </w:t>
      </w:r>
      <w:r>
        <w:rPr>
          <w:rFonts w:ascii="Times New Roman" w:hAnsi="Times New Roman" w:cs="Times New Roman"/>
          <w:color w:val="000000"/>
        </w:rPr>
        <w:t>High Court civil case number 73 of 1994</w:t>
      </w:r>
    </w:p>
    <w:p w:rsidR="00A04BCE" w:rsidRDefault="00A04BCE" w:rsidP="00A04B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Kenya National Examination Council v Gathenji and others </w:t>
      </w:r>
      <w:r>
        <w:rPr>
          <w:rFonts w:ascii="Times New Roman" w:hAnsi="Times New Roman" w:cs="Times New Roman"/>
          <w:color w:val="000000"/>
        </w:rPr>
        <w:t>[1996] LLR 483 (CAK)</w:t>
      </w:r>
    </w:p>
    <w:p w:rsidR="00EE7594" w:rsidRDefault="00A04BCE" w:rsidP="00A04BCE">
      <w:r>
        <w:rPr>
          <w:rFonts w:ascii="Times New Roman" w:hAnsi="Times New Roman" w:cs="Times New Roman"/>
          <w:i/>
          <w:iCs/>
          <w:color w:val="000000"/>
        </w:rPr>
        <w:lastRenderedPageBreak/>
        <w:t>Paul Kipkemoi Melly v The Permanent Secretary, Treasury and Minis</w:t>
      </w:r>
    </w:p>
    <w:sectPr w:rsidR="00EE7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CE"/>
    <w:rsid w:val="00A04BCE"/>
    <w:rsid w:val="00C564F1"/>
    <w:rsid w:val="00EE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71FFA-29B6-43FB-81A1-EBFD41FD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2018-07-05T08:46:00Z</dcterms:created>
  <dcterms:modified xsi:type="dcterms:W3CDTF">2018-07-12T20:18:00Z</dcterms:modified>
</cp:coreProperties>
</file>