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Permanent Secretary/Secretary to the Cabinet and Head of Public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Service Office of the President and another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Ng’ang’a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July 2006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612/04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Whether judicial review is bar to other remedies – When prohibition remedy applied – When</w:t>
      </w:r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remedy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certiorari applies.</w:t>
      </w:r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Whether Minister can transfer an employee of a state corporation.</w:t>
      </w:r>
    </w:p>
    <w:p w:rsidR="00A30826" w:rsidRDefault="00532E64" w:rsidP="00532E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32E64" w:rsidRDefault="00A30826" w:rsidP="00532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Visram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applicant’s Notice of Motion dated 2 June 2004 and brought under section 8 and 9 of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Reform Act and Order LIII, rule 3 of the Civil Procedure Rules, seeks orders: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“(1). That an order of prohibition do issue to prohibit the Permanent Secretary, Secretary to the Cabinet and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Head of the Public Service, Office of the President, from transferring and effecting any such transfer of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applicant from his current position as Chief Executive Officer/Director of Kenya National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Library Services to the Ministry of Trade and Industry as the Chief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Documentalist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/Information Officer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(KIPO) or to elsewhere.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an order of prohibition do issue to prohibit the Permanent Secretary Ministry of Gender, Sports,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Culture and Social Services from transferring and effecting any such transfer of the applicant from his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current position as Chief Executive Officer/Director of Kenya National Library Services to the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Ministry of Trade and Industry as the Chief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Documentalist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/Information Officer (KIPO) or to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elsewhere.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That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do issue to bring into this Court the decision of the Permanent Secretary,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Secretary to the Cabinet and Head of Public Service contained in a letter dated 27 January 2004 to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 the applicant from the position of the Chief Executive Officer/Director of Kenya National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Library Services to working as Chief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Documentalist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/Information Officer at KIPO, in the Ministry of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and Industry for the purposes of being quashed.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(4) That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do issue to bring into this Court the decision of the Permanent Secretary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Ministry of Gender, Sports, Culture and Social Services, contained in a letter dated the 5 February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2004 to transfer the applicant from the position of Chief Executive Officer/Director, Kenya National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Library Services to the Ministry of Trade and Industry as Chief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Documentalist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/Information Officer for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purposes of being quashed.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The costs of this application be provided for.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(6)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be pleased to give further orders and directions as it may deem fit and just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grant.”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recapulation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facts of this case are that the applicant was on 4 August 1989,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a letter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 from the interested party herein appointed as the Director of the Kenya National Library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(hereinafter referred to as “KNLS”). This was in consequence of a newspaper advert that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party had published on 8 March 1989, in the Kenya Times. The applicant held onto his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until 2003, when a friction appeared to erupt between the applicant and the Minister for Gender,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Sports, Culture and Social Services,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Najib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Balala</w:t>
      </w:r>
      <w:proofErr w:type="spellEnd"/>
      <w:r>
        <w:rPr>
          <w:rFonts w:ascii="Times New Roman" w:hAnsi="Times New Roman" w:cs="Times New Roman"/>
          <w:color w:val="000000"/>
        </w:rPr>
        <w:t xml:space="preserve"> (as he then was). This occasioned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Minister on 18 August 2003 to write a memo to the Permanent Secretary, Ministry of Gender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Sports, Culture and Social Services stating that after consultation with the Head of the Civil Service,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Ambassador Francis Muthaura, it was advisable that the necessary disciplinary action be taken against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relieving him of his responsibilities and having him redeployed within the headquarters and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assigned to other responsibilities for engaging in ‘acts of insubordination’. On 5 February 2004,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received a letter from the Ministry of Gender, Sports Culture and Social Services (hereinafter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as the Ministry) informing him that he had been posted to the Ministry of Trade and Industry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(KIPO) as Chief </w:t>
      </w:r>
      <w:proofErr w:type="spellStart"/>
      <w:r>
        <w:rPr>
          <w:rFonts w:ascii="Times New Roman" w:hAnsi="Times New Roman" w:cs="Times New Roman"/>
          <w:color w:val="000000"/>
        </w:rPr>
        <w:t>Documentalist</w:t>
      </w:r>
      <w:proofErr w:type="spellEnd"/>
      <w:r>
        <w:rPr>
          <w:rFonts w:ascii="Times New Roman" w:hAnsi="Times New Roman" w:cs="Times New Roman"/>
          <w:color w:val="000000"/>
        </w:rPr>
        <w:t>/Information Officer. This forms the basis of this suit, as the applicant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alleges that the actions by the Permanent Secretary in the Ministry and the Permanent Secretary, Office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President were prejudicial, an abuse of the process and a breach of the rules of natural justice.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submissions,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respondents relied wholly on the affidavit of Wellington P </w:t>
      </w:r>
      <w:proofErr w:type="spellStart"/>
      <w:r>
        <w:rPr>
          <w:rFonts w:ascii="Times New Roman" w:hAnsi="Times New Roman" w:cs="Times New Roman"/>
          <w:color w:val="000000"/>
        </w:rPr>
        <w:t>Godo</w:t>
      </w:r>
      <w:proofErr w:type="spellEnd"/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on 13 October 2005. He stated that the Permanent Secretary informed the Head of Public Service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decision to transfer the applicant, which transfers affected 58 other public officers. That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Head of Public Service was within his powers as conferred under section 107 of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as the applicant was a public servant. Further,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Kenya National Library Board is under the control of the Ministry for Gender, Sports, Culture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Social Services, and as such it is not an independent board.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clarified that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was only transferred and not dismissed, and that no evidence had been adduced to show loss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salary or benefits in the new job. Relying on the case of </w:t>
      </w:r>
      <w:r>
        <w:rPr>
          <w:rFonts w:ascii="Times New Roman" w:hAnsi="Times New Roman" w:cs="Times New Roman"/>
          <w:i/>
          <w:iCs/>
          <w:color w:val="000000"/>
        </w:rPr>
        <w:t>Kenya National Examination Council v</w:t>
      </w:r>
      <w:r w:rsidR="00532E6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Gathenji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[1996] LLR 483 (CAK), counsel stated that the order of prohibition was not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available, as a decision had already been made and secondly, that certiorari could not lie as there was no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made by the permanent secretary, to quash. Counsel went on to say that failure by the applicant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report to the new station was abandonment of his duty, and the position had already been filled. As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such, the prayer to restore him is an act in futility.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 xml:space="preserve"> by arguing that this being a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“transfer” and not a “dismissal”, there was no need nor any obligation for consultation with the applicant.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Koech</w:t>
      </w:r>
      <w:proofErr w:type="spellEnd"/>
      <w:r>
        <w:rPr>
          <w:rFonts w:ascii="Times New Roman" w:hAnsi="Times New Roman" w:cs="Times New Roman"/>
          <w:color w:val="000000"/>
        </w:rPr>
        <w:t xml:space="preserve">, for the Interested Party, also relying wholly on the replying affidavit of </w:t>
      </w:r>
      <w:proofErr w:type="spellStart"/>
      <w:r>
        <w:rPr>
          <w:rFonts w:ascii="Times New Roman" w:hAnsi="Times New Roman" w:cs="Times New Roman"/>
          <w:color w:val="000000"/>
        </w:rPr>
        <w:t>Haniel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Igwo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on 12 October 2005, stated that the KNLS board had maintained its powers as conferred to it by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Kenya National Library Service Board Act (Chapter 255 of the Laws of Kenya) and such powers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interfered with. Further, that the power to transfer was vested in the Head of Public Service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Board’s only power was to hire and fire.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Koech</w:t>
      </w:r>
      <w:proofErr w:type="spellEnd"/>
      <w:r>
        <w:rPr>
          <w:rFonts w:ascii="Times New Roman" w:hAnsi="Times New Roman" w:cs="Times New Roman"/>
          <w:color w:val="000000"/>
        </w:rPr>
        <w:t xml:space="preserve"> further submitted that the Central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has an interest in the running of state corporations as stipulated in the State Corporations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(Chapter 446 of the Laws of Kenya) and as such, the board is not autonomous. Counsel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 xml:space="preserve"> by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stating that there was a multiplicity of suits, and that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 had already dealt with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issues being raised in this suit.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applicant stated that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J’s ruling related to an application for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injunction only and that what was now before the Court was an application for Judicial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Review. Secondly, that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J’s ruling was only persuasive, and that the prayers sought herein, were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available. The applicant relied on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Kipkemoi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Permanent Secretary,</w:t>
      </w:r>
      <w:r w:rsidR="00532E6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Treasury and Minister for Finance </w:t>
      </w:r>
      <w:r>
        <w:rPr>
          <w:rFonts w:ascii="Times New Roman" w:hAnsi="Times New Roman" w:cs="Times New Roman"/>
          <w:color w:val="000000"/>
        </w:rPr>
        <w:t xml:space="preserve">High Court civil case number 1179 of 2006, </w:t>
      </w:r>
      <w:r>
        <w:rPr>
          <w:rFonts w:ascii="Times New Roman" w:hAnsi="Times New Roman" w:cs="Times New Roman"/>
          <w:i/>
          <w:iCs/>
          <w:color w:val="000000"/>
        </w:rPr>
        <w:t xml:space="preserve">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 w:rsidR="00532E6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Kenya National Library Service Board </w:t>
      </w:r>
      <w:r>
        <w:rPr>
          <w:rFonts w:ascii="Times New Roman" w:hAnsi="Times New Roman" w:cs="Times New Roman"/>
          <w:color w:val="000000"/>
        </w:rPr>
        <w:t>High Court civil case number 2013 of 1989,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Apollo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Oluoch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Kenya National Library Services </w:t>
      </w:r>
      <w:r>
        <w:rPr>
          <w:rFonts w:ascii="Times New Roman" w:hAnsi="Times New Roman" w:cs="Times New Roman"/>
          <w:color w:val="000000"/>
        </w:rPr>
        <w:t>High Court civil case number 1299 of 1990.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identified three pertinent issues that need to be addressed. Starting with the first one:</w:t>
      </w:r>
      <w:r w:rsidR="00532E64">
        <w:rPr>
          <w:rFonts w:ascii="Times New Roman" w:hAnsi="Times New Roman" w:cs="Times New Roman"/>
          <w:color w:val="000000"/>
        </w:rPr>
        <w:t xml:space="preserve"> </w:t>
      </w:r>
    </w:p>
    <w:p w:rsidR="00532E64" w:rsidRDefault="00A30826" w:rsidP="00532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1. Multiplicity of Suits</w:t>
      </w:r>
      <w:r w:rsidR="00532E6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interested party has contended that the applicant has filed multiple suits to defeat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ends of justice. Let me clarify that the purpose of judicial review is to check that public bodies do not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exceed their jurisdiction and carry out their duties in a manner that is detrimental to the public at large.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institution of a judicial review suit is not a bar to seeking other forms of relief as judicial reviews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 that as soon as a public body exceeds its jurisdiction, or acts unfairly, or disregards the principles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natural justice, then the very act of the public body must be </w:t>
      </w:r>
      <w:proofErr w:type="spellStart"/>
      <w:r>
        <w:rPr>
          <w:rFonts w:ascii="Times New Roman" w:hAnsi="Times New Roman" w:cs="Times New Roman"/>
          <w:color w:val="000000"/>
        </w:rPr>
        <w:t>scrutinised</w:t>
      </w:r>
      <w:proofErr w:type="spellEnd"/>
      <w:r>
        <w:rPr>
          <w:rFonts w:ascii="Times New Roman" w:hAnsi="Times New Roman" w:cs="Times New Roman"/>
          <w:color w:val="000000"/>
        </w:rPr>
        <w:t>. That said, I do not feel that there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multiplicity of suits in this instance.</w:t>
      </w:r>
      <w:r w:rsidR="00532E64">
        <w:rPr>
          <w:rFonts w:ascii="Times New Roman" w:hAnsi="Times New Roman" w:cs="Times New Roman"/>
          <w:color w:val="000000"/>
        </w:rPr>
        <w:t xml:space="preserve"> </w:t>
      </w:r>
    </w:p>
    <w:p w:rsidR="00532E64" w:rsidRDefault="00A30826" w:rsidP="00532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2. The Writs of Prohibition and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Certiorari</w:t>
      </w:r>
      <w:r w:rsidR="00532E64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Starting with the writ of prohibition,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 in the case of </w:t>
      </w:r>
      <w:r>
        <w:rPr>
          <w:rFonts w:ascii="Times New Roman" w:hAnsi="Times New Roman" w:cs="Times New Roman"/>
          <w:i/>
          <w:iCs/>
          <w:color w:val="000000"/>
        </w:rPr>
        <w:t>Kenya National Examinations Council v</w:t>
      </w:r>
      <w:r w:rsidR="00532E6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ex parte Geoffrey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Gathenji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clearly articulated when an order of prohibition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 issue: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“Prohibition is an order from the High Court directed to an inferior tribunal or body, which forbids that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tribunal or body to continue proceedings therein in excess or its jurisdiction or in contravention of the laws of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land. . . .It does not, however lie, to correct the course, practice or procedure of an inferior tribunal or a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 decision on the merits of the proceedings.”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further: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“Prohibition cannot quash a decision which has already been made, it can only prevent the making of a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contemplated decision.”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effect, therefore, prayers one and two of the Notice of Motion must fail as the decision to transfer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from his current position as Chief Executive Officer/Director of Kenya National Library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Services to the Ministry of Trade and Industry as the Chief </w:t>
      </w:r>
      <w:proofErr w:type="spellStart"/>
      <w:r>
        <w:rPr>
          <w:rFonts w:ascii="Times New Roman" w:hAnsi="Times New Roman" w:cs="Times New Roman"/>
          <w:color w:val="000000"/>
        </w:rPr>
        <w:t>Documentalist</w:t>
      </w:r>
      <w:proofErr w:type="spellEnd"/>
      <w:r>
        <w:rPr>
          <w:rFonts w:ascii="Times New Roman" w:hAnsi="Times New Roman" w:cs="Times New Roman"/>
          <w:color w:val="000000"/>
        </w:rPr>
        <w:t>/Information Officer (KIPO)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already been effected.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what about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>?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“Only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quash a decision already made and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will issue if the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is made without or in excess of jurisdiction, or where the rules of natural justice are not complied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or for such like reasons.”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look at three Acts: The Kenya National Library Services Board (Chapter 225 of the Laws)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Corporations Act (Chapter 446 of the Laws of Kenya and The Constitution (Chapter 1 of the Laws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Kenya).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Starting with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State Corporations Act. Section 2 defines a State Corporation as: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 state corporation established under section 3;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 body corporate established before or after the commencement of this Act by or under an Act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or other written law but not. . 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 goes on to say that: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President shall assign ministerial responsibility for any state corporation and matters relating thereto to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Vice-Present and the several Ministers as the President may by directions in writing determine.”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5(3) gives a state corporation power to employ such members of staff, including the Chief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Executive, on such terms and conditions of service as the Minister may, in consultation with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committee approve.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above, therefore, The Kenya National Library Service is a State Corporation as it is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under Chapter 225 of the Laws of the Kenya. Ministerial responsibility is assigned to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of Gender, Sports, Culture and Social Services, being its parent body.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Going into Chapter 225, section 6(1) states that: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Board shall appoint a professional librarian as the Director of Kenya National Library Service who shall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the chief executive of the Board and who shall be entitled to be present and to speak (but not to vote) at the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Board’s meetings.”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further in section 6(2):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appointment of the Director and his terms and conditions of service shall be subject to the approval of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Minister.”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Let me move further to Chapter 1 of the Laws of Kenya, at section 107(1), which states that: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this Constitution, the power to appoint persons to hold to act in offices in the public service and in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service of local authorities (including the power to confirm appointments), the power to exercise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disciplinary control over persons holding or acting in those offices and the power to remove those persons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office shall rest in the Public Service Commission.”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 let us look at the facts before this Court. It has already been established that The Kenya National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Library Service Board is a State Corporation. The applicant was appointed to be its Director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a letter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4 August 1989. It will be assumed that the relevant ministerial approval was sought and granted as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by section 6(2) of Chapter 225 and section 5(3) of Chapter 446.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also appear that the Ministry of Gender, Sports, Culture and Social Services has a major role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play in the administration of The Kenya National Library Service Board. This is by virtue of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ministerial responsibility conferred to the Ministry by section 4 of Chapter 446. The role of the Public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Commission cannot be downplayed either, as KNLS under section 4 of Chapter 225 carries out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 of a public nature, thereby making its affairs those in the public service.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 states: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functions of the Board shall be: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promote, establish, equip, manage, maintain and develop libraries in Kenya as a National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Library Service;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To plan and co-ordinate library, documentation and related services in Kenya;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To advise the Government, local authorities and other public bodies on all matters relating to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library, documentation and related services;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To provide facilities for the study of, and for training the principles, procedures and techniques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librarianship and such other related subjects as the Board may from time to time decide;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To advise the Government on library education and training needs for library documentation and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related services;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o</w:t>
      </w:r>
      <w:proofErr w:type="spellEnd"/>
      <w:r>
        <w:rPr>
          <w:rFonts w:ascii="Times New Roman" w:hAnsi="Times New Roman" w:cs="Times New Roman"/>
          <w:color w:val="000000"/>
        </w:rPr>
        <w:t xml:space="preserve"> sponsor, arrange or provide facilities for conferences and seminars for discussion of matters in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 with library and related services;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To carry out and to encourage research in the development of library and related services;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To participate and assist in campaigns for the eradication of illiteracy;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o</w:t>
      </w:r>
      <w:proofErr w:type="spellEnd"/>
      <w:r>
        <w:rPr>
          <w:rFonts w:ascii="Times New Roman" w:hAnsi="Times New Roman" w:cs="Times New Roman"/>
          <w:color w:val="000000"/>
        </w:rPr>
        <w:t xml:space="preserve"> stimulate public interest in books and to promote reading for knowledge, information and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T o</w:t>
      </w:r>
      <w:proofErr w:type="spellEnd"/>
      <w:r>
        <w:rPr>
          <w:rFonts w:ascii="Times New Roman" w:hAnsi="Times New Roman" w:cs="Times New Roman"/>
          <w:color w:val="000000"/>
        </w:rPr>
        <w:t xml:space="preserve"> acquire books produced in and outside Kenya and such other materials and sources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necessary for a comprehensive national library;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 To publish the national bibliography of Kenya and to provide bibliographical and references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such, the hiring, discipline and removal of officers from offices in the public service is vested in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Service Commission.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the evidence before me, I feel that the Minister of Gender, Sports, Culture and Social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 together with his counterpart, the Head of the Civil Service, were within their ambit in deciding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transfer the applicant.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allegation by the applicant that he was not given a hearing before his transfer is not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valid as there is no provision for a hearing before a transfer is </w:t>
      </w:r>
      <w:proofErr w:type="spellStart"/>
      <w:r>
        <w:rPr>
          <w:rFonts w:ascii="Times New Roman" w:hAnsi="Times New Roman" w:cs="Times New Roman"/>
          <w:color w:val="000000"/>
        </w:rPr>
        <w:t>effected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conclusion, therefore, I do not feel that the writ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is appropriate, as there is no irregular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quash.</w:t>
      </w:r>
      <w:r w:rsidR="00532E64">
        <w:rPr>
          <w:rFonts w:ascii="Times New Roman" w:hAnsi="Times New Roman" w:cs="Times New Roman"/>
          <w:color w:val="000000"/>
        </w:rPr>
        <w:t xml:space="preserve"> </w:t>
      </w:r>
    </w:p>
    <w:p w:rsidR="00A30826" w:rsidRDefault="00A30826" w:rsidP="00532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3. Private Contract</w:t>
      </w:r>
      <w:r w:rsidR="00532E6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pointed out by counsel for the interested party,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 has dealt with this issue at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 and I totally agree with his ruling dated 26 September 2005 when he held that there exists a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private contract between the applicant and the Kenya National Library Services. Allow me to explain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further, KNLS advertised for the position of director in the Kenya Times on 8 March 1989. A copy of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advertisement, which was produced in this Court, was very specific as to the requirements that were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sought. The applicant averred that there was a competitive vetting process, before he was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appointed as the Director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a letter of appointment dated 4 August 1989. The said letter stated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annual salary as well as other </w:t>
      </w:r>
      <w:proofErr w:type="gramStart"/>
      <w:r>
        <w:rPr>
          <w:rFonts w:ascii="Times New Roman" w:hAnsi="Times New Roman" w:cs="Times New Roman"/>
          <w:color w:val="000000"/>
        </w:rPr>
        <w:t>benefits, that</w:t>
      </w:r>
      <w:proofErr w:type="gramEnd"/>
      <w:r>
        <w:rPr>
          <w:rFonts w:ascii="Times New Roman" w:hAnsi="Times New Roman" w:cs="Times New Roman"/>
          <w:color w:val="000000"/>
        </w:rPr>
        <w:t xml:space="preserve"> went with the job. The letter further stated that termination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appointment would be by three </w:t>
      </w:r>
      <w:proofErr w:type="spellStart"/>
      <w:r>
        <w:rPr>
          <w:rFonts w:ascii="Times New Roman" w:hAnsi="Times New Roman" w:cs="Times New Roman"/>
          <w:color w:val="000000"/>
        </w:rPr>
        <w:t>months notice</w:t>
      </w:r>
      <w:proofErr w:type="spellEnd"/>
      <w:r>
        <w:rPr>
          <w:rFonts w:ascii="Times New Roman" w:hAnsi="Times New Roman" w:cs="Times New Roman"/>
          <w:color w:val="000000"/>
        </w:rPr>
        <w:t xml:space="preserve"> on either side, or three month’s salary </w:t>
      </w:r>
      <w:r>
        <w:rPr>
          <w:rFonts w:ascii="Times New Roman" w:hAnsi="Times New Roman" w:cs="Times New Roman"/>
          <w:i/>
          <w:iCs/>
          <w:color w:val="000000"/>
        </w:rPr>
        <w:t xml:space="preserve">in lieu </w:t>
      </w:r>
      <w:r>
        <w:rPr>
          <w:rFonts w:ascii="Times New Roman" w:hAnsi="Times New Roman" w:cs="Times New Roman"/>
          <w:color w:val="000000"/>
        </w:rPr>
        <w:t>of such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is whether there was “statutory protection” afforded to the Director. Section 6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225 directs the Board to appoint a director, but subject to the approval of the minister. Is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director’s appointment therefore statutorily underpinned? The definition was sought in the case of </w:t>
      </w:r>
      <w:r>
        <w:rPr>
          <w:rFonts w:ascii="Times New Roman" w:hAnsi="Times New Roman" w:cs="Times New Roman"/>
          <w:i/>
          <w:iCs/>
          <w:color w:val="000000"/>
        </w:rPr>
        <w:t>Eric J</w:t>
      </w:r>
      <w:r w:rsidR="00532E6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Makokha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Lawrence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Sagini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High Court civil case number 73 of 1994 where it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stated that: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employment is governed by Rules or Regulations made under a statute the same is not terminable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like in the case of ordinary employment.”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further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underpin is to strengthen.”</w:t>
      </w:r>
      <w:r w:rsidR="00532E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Can it therefore be said that the applicant’s employment was underpinned by Statute? I think not, as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225 only gives direction as to how the appointment of the Director is to be done; that is by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Board and with the Minister’s approval. Nothing in these terms expounds on the “protection” that is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afforded to the director’s position and as such the applicant’s terms of employment were intended to be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governed by the terms in the letter of appointment.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is, therefore, a clear case of private contract, and the applicant, having already filed a suit in the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(High Court civil case number 746 of 2004), I see his remedy lying entirely in that suit.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such, and for the reasons outlined above, I decline to grant the prayers sought in the Notice of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dated 2 June 2004, and award the costs to the respondents.</w:t>
      </w:r>
      <w:r w:rsidR="00532E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Wachira</w:t>
      </w:r>
      <w:proofErr w:type="spellEnd"/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30826" w:rsidRDefault="00A30826" w:rsidP="00A3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Gathaga</w:t>
      </w:r>
      <w:proofErr w:type="spellEnd"/>
    </w:p>
    <w:p w:rsidR="00EE7594" w:rsidRDefault="00EE7594">
      <w:bookmarkStart w:id="0" w:name="_GoBack"/>
      <w:bookmarkEnd w:id="0"/>
    </w:p>
    <w:sectPr w:rsidR="00EE7594" w:rsidSect="00B550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26"/>
    <w:rsid w:val="00532E64"/>
    <w:rsid w:val="00A30826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5D43F-F983-4DBF-9961-9C9CE883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2543</Words>
  <Characters>14498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2018-07-05T08:47:00Z</dcterms:created>
  <dcterms:modified xsi:type="dcterms:W3CDTF">2018-07-11T17:26:00Z</dcterms:modified>
</cp:coreProperties>
</file>