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75" w:rsidRPr="00E42C47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Said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Maitha</w:t>
      </w:r>
      <w:proofErr w:type="spellEnd"/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Mombasa</w:t>
      </w:r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March 2000</w:t>
      </w:r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237/99</w:t>
      </w:r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petition – Submissions – Matter of vote counting closed in court – Advocate observing that</w:t>
      </w:r>
      <w:r w:rsidR="00E42C4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presiding officer not presenting certain statement on votes to court as required under rule 19 of National</w:t>
      </w:r>
      <w:r w:rsidR="00E42C4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Assembly Elections (Election Petition) Rules – Court ruling that advocate to submit on rule 19 only –</w:t>
      </w:r>
      <w:r w:rsidR="00E42C4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Whether the ruling appropriate.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Review – Court making non-conforming rulings – Whether court has power to review the</w:t>
      </w:r>
      <w:r w:rsidR="00E42C4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rulings to conform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with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court’s intention.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Practice – Ruling – Court proceedings – Whether ruling part of the court proceedings.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Practice – Submissions – Whether desirable to restrict a party’s submissions on certain point.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42C47" w:rsidRDefault="00001C75" w:rsidP="00E42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and the Respondent both contested for the seat of the Member of Parliament, </w:t>
      </w:r>
      <w:proofErr w:type="spellStart"/>
      <w:r>
        <w:rPr>
          <w:rFonts w:ascii="Times New Roman" w:hAnsi="Times New Roman" w:cs="Times New Roman"/>
          <w:color w:val="000000"/>
        </w:rPr>
        <w:t>Kisauni</w:t>
      </w:r>
      <w:proofErr w:type="spellEnd"/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constituency, in 1997 general elections. The results indicated that the Respondent had won by a margin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534 votes against the Appellant. The Appellant alleged irregularities and improper vote counting and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 petition. The Appellant then made an application for scrutiny and recount, which was allowed on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 March 1999. The recount was carried out in</w:t>
      </w:r>
      <w:r w:rsidR="00E42C4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the presence of, among others, a deputy registrar of the High Court. The margin of the votes was then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reduced to only 52.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17 May 1999 the Appellant’s advocate sought to make submissions, not on the recounted number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votes, but on some aspects of the scrutiny particularly that the presiding officer ought to explain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number of voting papers issued coincided with the number of votes cast added to the number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papers spoilt or remaining. The counsel further stated that the presiding officer had not given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of the votes issued, cast and returned as required under regulation 34 and rule 19 of the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Elections (Election Petition) Rules.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Respondents objected to this submission and stated that the Appellant’s counsel was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submitting on matters of evidence from the Bar. The court on 20 May 1999 ruled on the objection to the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of 17 May and ordered that the Appellant’s counsel ought to file a written application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touching on the ground of non-compliance with Rule 19.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applied for review of the decision of 20 May on the ground that his right to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 on 17 May was curtailed by the order of 20 May which restricted his right to fully submit on the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arising out of the absence of the presiding officer’s statements. Counsel wanted to submit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generally and not on rule 19 only.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ruled on the application for review that the court did not have inherent power to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its orders unless there was a power of review. The court also said that the rulings of 17 May and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May did not form part of the proceedings.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against the orders of 17 and 20 May 1999.</w:t>
      </w:r>
      <w:r w:rsidR="00E42C47">
        <w:rPr>
          <w:rFonts w:ascii="Times New Roman" w:hAnsi="Times New Roman" w:cs="Times New Roman"/>
          <w:color w:val="000000"/>
        </w:rPr>
        <w:t xml:space="preserve"> </w:t>
      </w:r>
    </w:p>
    <w:p w:rsidR="00E42C47" w:rsidRDefault="00E42C47" w:rsidP="00E42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01C75" w:rsidRDefault="00001C75" w:rsidP="00E42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Whilst it is desirable to end any litigation it is equally desirable to allow a party to canvass fully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relevant point he may have on the issues (per Shah JA).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inherent power to recall an order before it is perfected to amend the same to rhyme with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intentions of the court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Lakhanshi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Assanand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sons </w:t>
      </w:r>
      <w:r>
        <w:rPr>
          <w:rFonts w:ascii="Symbol" w:hAnsi="Symbol" w:cs="Symbol"/>
          <w:color w:val="000000"/>
        </w:rPr>
        <w:t></w:t>
      </w:r>
      <w:r>
        <w:rPr>
          <w:rFonts w:ascii="Times New Roman" w:hAnsi="Times New Roman" w:cs="Times New Roman"/>
          <w:color w:val="000000"/>
        </w:rPr>
        <w:t>1957</w:t>
      </w:r>
      <w:r>
        <w:rPr>
          <w:rFonts w:ascii="Symbol" w:hAnsi="Symbol" w:cs="Symbol"/>
          <w:color w:val="000000"/>
        </w:rPr>
        <w:t></w:t>
      </w:r>
      <w:r>
        <w:rPr>
          <w:rFonts w:ascii="Symbol" w:hAnsi="Symbol" w:cs="Symbol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EA 82 followed. The court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not to reject an application for review merely because the Applicant may appeal instead (per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JA).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Rulings form part of the court </w:t>
      </w:r>
      <w:bookmarkStart w:id="0" w:name="_GoBack"/>
      <w:bookmarkEnd w:id="0"/>
      <w:r w:rsidR="00E42C47">
        <w:rPr>
          <w:rFonts w:ascii="Times New Roman" w:hAnsi="Times New Roman" w:cs="Times New Roman"/>
          <w:color w:val="000000"/>
        </w:rPr>
        <w:t>proceedings that</w:t>
      </w:r>
      <w:r>
        <w:rPr>
          <w:rFonts w:ascii="Times New Roman" w:hAnsi="Times New Roman" w:cs="Times New Roman"/>
          <w:color w:val="000000"/>
        </w:rPr>
        <w:t xml:space="preserve"> is, application and arguments and must therefore be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proceedings.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allowed to file an application in the High court without restriction to rule 19.</w:t>
      </w:r>
      <w:r w:rsidR="00E42C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Lakhamshi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Assanand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Sons </w:t>
      </w:r>
      <w:r>
        <w:rPr>
          <w:rFonts w:ascii="Times New Roman" w:hAnsi="Times New Roman" w:cs="Times New Roman"/>
          <w:color w:val="000000"/>
        </w:rPr>
        <w:t xml:space="preserve">[1957] EA 82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01C75" w:rsidRDefault="00001C75" w:rsidP="00001C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Harrison’s Share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Under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Settlement </w:t>
      </w:r>
      <w:r>
        <w:rPr>
          <w:rFonts w:ascii="Times New Roman" w:hAnsi="Times New Roman" w:cs="Times New Roman"/>
          <w:color w:val="000000"/>
        </w:rPr>
        <w:t>[1955] 1 All ER 185</w:t>
      </w:r>
    </w:p>
    <w:p w:rsidR="003F18BF" w:rsidRDefault="00001C75" w:rsidP="00001C75">
      <w:r>
        <w:rPr>
          <w:rFonts w:ascii="Times New Roman" w:hAnsi="Times New Roman" w:cs="Times New Roman"/>
          <w:color w:val="000080"/>
        </w:rPr>
        <w:t>Page 507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75"/>
    <w:rsid w:val="00001C75"/>
    <w:rsid w:val="003F18BF"/>
    <w:rsid w:val="00E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AF47-EEAC-4FF4-B24B-1C6D3A5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2018-07-05T10:55:00Z</dcterms:created>
  <dcterms:modified xsi:type="dcterms:W3CDTF">2018-07-11T17:12:00Z</dcterms:modified>
</cp:coreProperties>
</file>