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Said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Maitha</w:t>
      </w:r>
      <w:proofErr w:type="spellEnd"/>
    </w:p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Mombasa</w:t>
      </w:r>
    </w:p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March 2000</w:t>
      </w:r>
    </w:p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237/99</w:t>
      </w:r>
    </w:p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Shah JJA</w:t>
      </w:r>
    </w:p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 petition – Submissions – Matter of vote counting closed in court – Advocate observing that</w:t>
      </w:r>
      <w:r w:rsidR="0088463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presiding officer not presenting certain statement on votes to court as required under rule 19 of National</w:t>
      </w:r>
      <w:r w:rsidR="0088463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Assembly Elections (Election Petition) Rules – Court ruling that advocate to submit on rule 19 only –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ruling appropriate.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Review – Court making non-conforming rulings – Whether court has power to review the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rulings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conform with court’s intention.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Practice – Ruling – Court proceedings – Whether ruling part of the court proceedings.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Practice – Submissions – Whether desirable to restrict a party’s submissions on certain point.</w:t>
      </w:r>
    </w:p>
    <w:p w:rsidR="00F602C7" w:rsidRDefault="00884634" w:rsidP="00884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F602C7" w:rsidRDefault="00884634" w:rsidP="0088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84634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SHAH JA: </w:t>
      </w:r>
      <w:r>
        <w:rPr>
          <w:rFonts w:ascii="Times New Roman" w:hAnsi="Times New Roman" w:cs="Times New Roman"/>
          <w:color w:val="000000"/>
        </w:rPr>
        <w:t>On 18 March 1999 the superior court (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J) allowed the Appellant’s application for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scrutiny and recount of votes cast at the Parliamentary election held in the </w:t>
      </w:r>
      <w:proofErr w:type="spellStart"/>
      <w:r>
        <w:rPr>
          <w:rFonts w:ascii="Times New Roman" w:hAnsi="Times New Roman" w:cs="Times New Roman"/>
          <w:color w:val="000000"/>
        </w:rPr>
        <w:t>Kisauni</w:t>
      </w:r>
      <w:proofErr w:type="spellEnd"/>
      <w:r>
        <w:rPr>
          <w:rFonts w:ascii="Times New Roman" w:hAnsi="Times New Roman" w:cs="Times New Roman"/>
          <w:color w:val="000000"/>
        </w:rPr>
        <w:t xml:space="preserve"> constituency on 29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1997. The Appellant was the unsuccessful candidate whilst the First Respondent was declared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be the successful candidate at the said election by the returning officer,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Hotham </w:t>
      </w:r>
      <w:proofErr w:type="spellStart"/>
      <w:r>
        <w:rPr>
          <w:rFonts w:ascii="Times New Roman" w:hAnsi="Times New Roman" w:cs="Times New Roman"/>
          <w:color w:val="000000"/>
        </w:rPr>
        <w:t>Nyange</w:t>
      </w:r>
      <w:proofErr w:type="spellEnd"/>
      <w:r>
        <w:rPr>
          <w:rFonts w:ascii="Times New Roman" w:hAnsi="Times New Roman" w:cs="Times New Roman"/>
          <w:color w:val="000000"/>
        </w:rPr>
        <w:t>, who is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Respondent before this Court. The Appellant is Said </w:t>
      </w:r>
      <w:proofErr w:type="spellStart"/>
      <w:r>
        <w:rPr>
          <w:rFonts w:ascii="Times New Roman" w:hAnsi="Times New Roman" w:cs="Times New Roman"/>
          <w:color w:val="000000"/>
        </w:rPr>
        <w:t>Hemed</w:t>
      </w:r>
      <w:proofErr w:type="spellEnd"/>
      <w:r>
        <w:rPr>
          <w:rFonts w:ascii="Times New Roman" w:hAnsi="Times New Roman" w:cs="Times New Roman"/>
          <w:color w:val="000000"/>
        </w:rPr>
        <w:t xml:space="preserve"> Said whilst the First Respondent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Emmanuel </w:t>
      </w:r>
      <w:proofErr w:type="spellStart"/>
      <w:r>
        <w:rPr>
          <w:rFonts w:ascii="Times New Roman" w:hAnsi="Times New Roman" w:cs="Times New Roman"/>
          <w:color w:val="000000"/>
        </w:rPr>
        <w:t>Karisa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Maitha</w:t>
      </w:r>
      <w:proofErr w:type="spellEnd"/>
      <w:r>
        <w:rPr>
          <w:rFonts w:ascii="Times New Roman" w:hAnsi="Times New Roman" w:cs="Times New Roman"/>
          <w:color w:val="000000"/>
        </w:rPr>
        <w:t>. The said election was held under the provisions of the National Assembly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Presidential Elections Act (Chapter 7) (“the Act”) to elect a person to the seat in the National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for the said constituency.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according to the declared result, obtained 9 540 votes whereas the First Respondent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garnered 10 74 votes, a difference of 534 votes in favour of the First Respondent. The re-count and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scrutiny was carried out by the parties in the presence of (amongst others) the deputy registrar of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superior court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Lydia </w:t>
      </w:r>
      <w:proofErr w:type="spellStart"/>
      <w:r>
        <w:rPr>
          <w:rFonts w:ascii="Times New Roman" w:hAnsi="Times New Roman" w:cs="Times New Roman"/>
          <w:color w:val="000000"/>
        </w:rPr>
        <w:t>Achode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differences between the parties as regards re-count of votes properly cast was the subject of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 before the Learned Judge who after hearing all parties and scrutinizing the disputed votes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ruled that the vote margin of 534 in favour of the First Respondent stood reduced to 52, which reduction,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by itself, did not affect the election result.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given a considered ruling on the re-count and scrutiny the Learned Judge directed the parties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re-assess their position otherwise the hearing of the petition would go on. That was on 7 May 1999.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17 May 1999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Ishan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 sought leave to make submissions, not on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recounted number of votes but on some aspects of the scrutiny. Counsel for the two Respondents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opposed the application saying that the oral application would touch on matters already ruled on and may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well be matters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 The Learned Judge ruled as follows: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agree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Mukele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(counsel for Second and First Respondents, respectively, here)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particularly because there is no end to which the submission is aimed at. However,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there may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aspects of scrutiny that are not necessarily on vote count and have [emerged] out of re-count finding and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therefore in so far as we have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focussed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only on votes there may be something to be said on those aspects of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exercise.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While therefore I accept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 submit on those aspects, it will be clear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discuss the vote re-count and further he ought to have brought this matter together with the re-count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 and finalization of votes instead of treating this aspect from vote result and it is this piecemeal approach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is improper. The result is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that means everyone also will now submit on the matter, but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will be no reference to the votes and the vote-recount.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I allow the application to that extent”.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During the course of his submissions on 17 May 1999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court having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adjudicated on the number of votes in dispute, that issue was over. He went on further, however, to say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number of ballot papers originally issued and the number of votes cast ought not to differ except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an inconsequential number and that it was incumbent upon the court to examine whether what was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counted by the deputy registrar tallied with those counted by the returning officer and were all the votes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cast by the electorate and that no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voting paper had been added or </w:t>
      </w:r>
      <w:proofErr w:type="spellStart"/>
      <w:r>
        <w:rPr>
          <w:rFonts w:ascii="Times New Roman" w:hAnsi="Times New Roman" w:cs="Times New Roman"/>
          <w:color w:val="000000"/>
        </w:rPr>
        <w:t>substracted</w:t>
      </w:r>
      <w:proofErr w:type="spellEnd"/>
      <w:r>
        <w:rPr>
          <w:rFonts w:ascii="Times New Roman" w:hAnsi="Times New Roman" w:cs="Times New Roman"/>
          <w:color w:val="000000"/>
        </w:rPr>
        <w:t>. What was important, he said, was that the number of valid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papers issued by the returning officer to each presiding officer of each area ought to be compared with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used and those returned so as to arrive at a conclusion whether or not ballot papers were added or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taken away in the interim. As I understood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he was attempting to say that unless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figures tallied the election itself stood unsatisfactory, more so as the difference of votes was only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52.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information,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urged, could only be available from the presiding officer and not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returning officer.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34 of the Presidential and Parliamentary Elections Regulations (“the Regulations”) made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Act provides as follows:</w:t>
      </w:r>
    </w:p>
    <w:p w:rsidR="00884634" w:rsidRDefault="00884634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F602C7">
        <w:rPr>
          <w:rFonts w:ascii="Times New Roman" w:hAnsi="Times New Roman" w:cs="Times New Roman"/>
          <w:color w:val="000000"/>
          <w:sz w:val="20"/>
          <w:szCs w:val="20"/>
        </w:rPr>
        <w:t>“34(1) Immediately after the close of the poll at his polling station the presiding officer shall make a written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602C7">
        <w:rPr>
          <w:rFonts w:ascii="Times New Roman" w:hAnsi="Times New Roman" w:cs="Times New Roman"/>
          <w:color w:val="000000"/>
          <w:sz w:val="20"/>
          <w:szCs w:val="20"/>
        </w:rPr>
        <w:t>statement of: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F602C7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F602C7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 w:rsidR="00F602C7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F602C7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F602C7">
        <w:rPr>
          <w:rFonts w:ascii="Times New Roman" w:hAnsi="Times New Roman" w:cs="Times New Roman"/>
          <w:color w:val="000000"/>
          <w:sz w:val="20"/>
          <w:szCs w:val="20"/>
        </w:rPr>
        <w:t xml:space="preserve"> number of ballot papers issued to him under regulation 22(1)(</w:t>
      </w:r>
      <w:proofErr w:type="spellStart"/>
      <w:r w:rsidR="00F602C7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="00F602C7">
        <w:rPr>
          <w:rFonts w:ascii="Times New Roman" w:hAnsi="Times New Roman" w:cs="Times New Roman"/>
          <w:color w:val="000000"/>
          <w:sz w:val="20"/>
          <w:szCs w:val="20"/>
        </w:rPr>
        <w:t>);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84634" w:rsidRDefault="00884634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F602C7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F602C7"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 w:rsidR="00F602C7">
        <w:rPr>
          <w:rFonts w:ascii="Times New Roman" w:hAnsi="Times New Roman" w:cs="Times New Roman"/>
          <w:color w:val="000000"/>
          <w:sz w:val="20"/>
          <w:szCs w:val="20"/>
        </w:rPr>
        <w:t xml:space="preserve"> number of ballot papers, other than spoilt ballot papers, issued;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84634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number of spoilt ballot papers;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84634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number of ballot papers remaining unused.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Immediately after the completion of the statement under paragraph (1), the presiding officer, in the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presence of those candidates or their agents as are then present with him, shall make up into separate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packets–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spoilt papers, if any;</w:t>
      </w:r>
    </w:p>
    <w:p w:rsidR="00884634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="00884634"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marked copy register;</w:t>
      </w:r>
    </w:p>
    <w:p w:rsidR="00884634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="00884634"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counterfoils of the used ballot papers; and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84634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="00884634"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aforesaid statement and statement recorded under regulation 33(2)”.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84634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Regulation 22 of the Regulations mandates the returning officer to provide to the presiding officer such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of ballot papers as may be required and necessary for the conduct of a particular election.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combined effect of those two regulations, as I see it, is that at the end of the whole exercise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ballot papers issued are duly accounted for. That is, those used, plus spoilt ones and those returned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unused ought to tally with those originally issued so that no one can be accused of adding or subtracting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ballot papers. It is for this reason that Rule 19 of the National Assembly Elections (Election Petition)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(“the Rules”) provides that amongst the documents the returning officer delivers to the registrar of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not less than forty-eight hours before the hearing of an election petition, there ought to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statements by the presiding officers made under the provisions of regulation 33(2) of the Regulations.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on to submit that statements made by the presiding officers are essential to enable an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court to verify whether ballot papers used in the count match the number of ballot papers issued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returning officer to each presiding officer. That must be so if the court is to be satisfied that ballot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papers have not been added or deducted.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oral submissions that rejected ballot papers were required under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34(1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38 of the Regulations to be shown on the grounds that this could not be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canvassed orally.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 pointing out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asking for a further scrutiny by the back door.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he wished to look at the papers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(documents) in the possession of the deputy registrar. With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permission of the Learned Judge all counsel went into the well of the court and after viewing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documents,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statements by the presiding officers as required by regulation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34 of the Regulations and rule 19 of the Rules were not there and stated that the breach went to the root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election. At that stage,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referring to the result of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scrutiny and stated that he ought to file a substantive application to canvass this point.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 w:rsidR="0088463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stated, in response, that he was not bringing forth any new matter. He was drawing the court’s attention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facts that the statements by the presiding officers were not before the court as mandated by rule 19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Rules.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noted that the Learned Judge had allowed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submit on aspects of the scrutiny which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necessarily on vote re-count. “Scrutiny” as correctly pointed out by the Learned Judge means “a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reviewing of the ballot papers following a court order”. The Learned Judge also correctly pointed out that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scrutiny would necessarily involve re-count of votes.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come back to the hearing before the Learned Judge on 17 May 1999.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that it was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incumbent upon the court in pursuance of the order for scrutiny, to examine what was counted by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deputy registrar and to examine what purports to be the material used at the original count, to ensure that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result is a safe one.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right to show as a matter of evidence that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papers required under regulation 38 of the Regulations are missing. He said that was a matter of evidence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a matter to be canvassed from the Bar.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objected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oral application to enable him (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>) to demonstrate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Bar that the lack of the presiding officers’ statements could affect the election.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 thereto was to the effect that he was asking to know whether a mandatory provision has been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with, that is, whether or not the presiding officers’ statements made under regulation 34 of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were in court pursuant to rule 19 of the Rules which is as follows: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“19. The returning officer shall deliver to the Registrar not less than forty-eight hours before the date fixed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election court for the trial the following documents–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–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any statements of the presiding officer made under the provisions of regulation 33(2) of the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Presidential and Parliamentary Election Regulations”.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after hearing the arguments as regards the absence of the presiding officers’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statements, ruled on 20 May 1999,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file a written application to avoid the election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 of non-compliance with rule 19 of the Election Petition Rules.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takes issue with the Learned Judge’s rulings of 17 May 1999 and 20 May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1999. By the ruling of 17 May 1999 the Learned Judge allowed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submit on aspects of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scrutiny that were not necessarily on vote count but may have emerged out of the re-count findings.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appreciated that “there may be something to be said on those aspects of the exercise”.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at that time allowed oral submissions.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his ruling of 20 May 1999 the Learned Judge (as pointed out) confined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(not oral but written) to avoid the election on ground of non-compliance with rule 19 of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 that his right on submissions as granted by the order of 17 May 1999 was curtailed by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order of 20 May 1999. I see some justification in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 that the order of 20 May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 curtails his right to fully submit on the issues arising out of the absence of the presiding officers’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from the documents produced in court. At the risk of repetition, I say that the procedure laid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 in regulation 34 of the Regulations is of importance when the court considers the efficacy of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and that is the reason why rule 19 of the Rules mandates the returning officer to include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presiding officers’ statements amongst the documents delivered to an election court.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Faced with the two rulings not quite consonant with each other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to seek a review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corrections of errors apparent on the face of those orders. He sought permission to submit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generally and not to be restricted to submissions on rule 19 of the Rules.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in regard to the two rulings said: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these Rulings it is evident that the court’s intent is to restrict new application and discussion on the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 of re-count and scrutiny which had already been proceeded with so as not to revisit the matters already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discussed. The intent of the court would appear to be to avoid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Res Judicata </w:t>
      </w:r>
      <w:r>
        <w:rPr>
          <w:rFonts w:ascii="Times New Roman" w:hAnsi="Times New Roman" w:cs="Times New Roman"/>
          <w:color w:val="000000"/>
          <w:sz w:val="20"/>
          <w:szCs w:val="20"/>
        </w:rPr>
        <w:t>situation and to limit if any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repetitive interlocutory applications and to secure an expeditious disposal of this petition”.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response of the Learned Judge was in response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sworn statement which reads: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the … ruling of 17 May 1999 allowed me to make substantive submissions on the matters discovered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during scrutiny. I undertook not to challenge the result of the re-count conducted by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court,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the said ruling instead forbids me from ‘making reference’ to the re-count. It will be impossible for me to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submit on the scrutiny conducted without referring to the re-count and I therefore seek a review of the Ruling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reflect the true intent of the Learned Judge as disclosed by him after the ruling was delivered upon my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bringing this matter to his attention”.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held that he had no inherent power to reconsider his orders once made unless there is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power of review. Primarily that is a correct statement of law; but there is power to recall an order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it is perfected to amend the same as to rhyme with the intention of the court. There is inherent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 of the court to recall a judgment before it is perfected.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Lakhamshi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Assanand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88463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Sons </w:t>
      </w:r>
      <w:r>
        <w:rPr>
          <w:rFonts w:ascii="Times New Roman" w:hAnsi="Times New Roman" w:cs="Times New Roman"/>
          <w:color w:val="000000"/>
        </w:rPr>
        <w:t xml:space="preserve">[1957] EA 82 Sir </w:t>
      </w:r>
      <w:proofErr w:type="spellStart"/>
      <w:r>
        <w:rPr>
          <w:rFonts w:ascii="Times New Roman" w:hAnsi="Times New Roman" w:cs="Times New Roman"/>
          <w:color w:val="000000"/>
        </w:rPr>
        <w:t>Newham</w:t>
      </w:r>
      <w:proofErr w:type="spellEnd"/>
      <w:r>
        <w:rPr>
          <w:rFonts w:ascii="Times New Roman" w:hAnsi="Times New Roman" w:cs="Times New Roman"/>
          <w:color w:val="000000"/>
        </w:rPr>
        <w:t xml:space="preserve"> Worley, then President of that Court, said after referring with approval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English case of </w:t>
      </w:r>
      <w:r>
        <w:rPr>
          <w:rFonts w:ascii="Times New Roman" w:hAnsi="Times New Roman" w:cs="Times New Roman"/>
          <w:i/>
          <w:iCs/>
          <w:color w:val="000000"/>
        </w:rPr>
        <w:t xml:space="preserve">Re Harrison’s Share Under a Settlement </w:t>
      </w:r>
      <w:r>
        <w:rPr>
          <w:rFonts w:ascii="Times New Roman" w:hAnsi="Times New Roman" w:cs="Times New Roman"/>
          <w:color w:val="000000"/>
        </w:rPr>
        <w:t>[1955] 1 All ER 185: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evident that the power to recall a judgment is one of the inherent powers of a court. In Kenya, as regards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both the Supreme Court and the subordinate courts, inherent powers are saved by section 97 of the Civil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Code. We think therefore that the courts in Kenya have the same inherent power as courts in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England to recall a judgment before it is perfected by a formal decree or order. Such a power is beneficial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because, as was pointed out in Harrison’s case, it avoids the absurdity and consequential expense of the court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having to pass a decree which it knows to be wrong, but which could only be upset by means of an appeal, or,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Kenya by the alternative procedure of an application for review”.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held that rulings do not form part of the proceedings. I think the Learned Judge erred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there. Any ruling comes as a result of proceedings, that is, application and arguments and must therefore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 part of the proceedings. It would be erroneous to say that a ruling is not part of the proceedings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it emanates from the proceedings.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>
        <w:rPr>
          <w:rFonts w:ascii="Times New Roman" w:hAnsi="Times New Roman" w:cs="Times New Roman"/>
          <w:color w:val="000000"/>
        </w:rPr>
        <w:t xml:space="preserve">, whilst opposing the appeal, urged that what was before us was already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 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urged that the review application before the Learned Judge was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 But that cannot be.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 of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was argued as a preliminary point before the Learned Judge. The Respondents had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lodged, in opposition to the Appellant’s application for review, a notice of preliminary objection setting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amongst others the following point: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“3. That the matter being canvassed has already been heard and determined through the scrutiny and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recount of votes and the matter is therefore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res judicata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court cannot revisit that matter – the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 is already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functus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officios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Judge disallowed that preliminary point and directed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argue his application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forthwith, unless there was to be an appeal against his ruling delivered, on the preliminary point, on 21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July 1999.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now precluded from arguing the same point here, as the Learned Judge had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the same and there was no appeal lodged against that ruling.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substance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opposition to this appeal turned on the issue as to whether or not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revisit the issue of scrutiny and recount when the superior court had already ruled on it.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the court ruled on was on the recount which reduced the First Respondent’s lead on votes to a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considerable extent but that could not,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seeking to argue, stop a party from drawing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attention of the court to irregularities, if any, in the voting process if that could be established by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 based on presiding officers’ statements or if it could be established that the number of ballot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papers issued do not tally with the final election result.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section 28 of the Act declares that non-compliance with written law does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avoid an election if it appears that the election was conducted in accordance with the principles laid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 in that written law, or that the non-compliance did not affect the result of the election. This point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will of course be a matter of arguments before the superior court if and when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allowed to put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 his arguments, there, fully, rather than being restricted only to rule 19 of the Rules.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urged that the Learned Judge had not in his ruling of 20 May 1999, departed from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substance of his ruling of 17 May 1999, but I have already pointed out that this was not so.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proofErr w:type="spellEnd"/>
      <w:r w:rsidR="0088463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took issue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latter’s argument that what he (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>) argued was not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recorded by the Learned Judge. The record speaks for itself. I have no difficulty in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understanding 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real problem was. That is, that his client’s right to make comprehensive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on the want or lack of the presiding officers’ statements was being curtailed, when he was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ruling of 20 May 1999 confined to submit only on rule 19 of the Rules.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Whilst it is always desirable to wish to end any litigation it is equally desirable that a party ought to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allowed to canvass fully any relevant germane point he may have. That is a matter of course in our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adversarial system.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adopted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Gikandi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 and added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 submit generally on any matter he liked. He stated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have had brought to his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opponents’ notice the missing statements.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so, as I see it, at the earliest opportunity.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 that there was some amount of confusion in the superior court with regard to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34 and 41 of the Regulations and rule 19 of the Rules. At times a regulation was being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to as a rule and </w:t>
      </w:r>
      <w:r>
        <w:rPr>
          <w:rFonts w:ascii="Times New Roman" w:hAnsi="Times New Roman" w:cs="Times New Roman"/>
          <w:i/>
          <w:iCs/>
          <w:color w:val="000000"/>
        </w:rPr>
        <w:t>vice-versa</w:t>
      </w:r>
      <w:r>
        <w:rPr>
          <w:rFonts w:ascii="Times New Roman" w:hAnsi="Times New Roman" w:cs="Times New Roman"/>
          <w:color w:val="000000"/>
        </w:rPr>
        <w:t>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Page 512 of [2000] 2 EA 505 (CAK)</w:t>
      </w:r>
      <w:r w:rsidR="00884634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I have said so far takes care of all the grounds of appeal argued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>. I do not see any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 to go into each ground separately. What I have said so far disposes of this appeal.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allow this appeal with costs. I would also award costs of the review application in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superior court to the Appellant. To leave no room for doubt I would direct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files within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30 days a comprehensive application in the superior court which application may not be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confined only to provisions in rule 19 of the Rules and in which application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argue all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matters relating to scrutiny with such documentary analysis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wish to put forward.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must be given sufficient time to oppose such an application.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 JA concurred in the judgment of Shah JA.)</w:t>
      </w:r>
      <w:r w:rsidR="00884634">
        <w:rPr>
          <w:rFonts w:ascii="Times New Roman" w:hAnsi="Times New Roman" w:cs="Times New Roman"/>
          <w:color w:val="000000"/>
        </w:rPr>
        <w:t xml:space="preserve"> </w:t>
      </w:r>
    </w:p>
    <w:p w:rsidR="00F602C7" w:rsidRDefault="00F602C7" w:rsidP="00884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AKIWUMI JA: </w:t>
      </w:r>
      <w:r>
        <w:rPr>
          <w:rFonts w:ascii="Times New Roman" w:hAnsi="Times New Roman" w:cs="Times New Roman"/>
          <w:color w:val="000000"/>
        </w:rPr>
        <w:t>I have had the advantage of perusing the draft judgment of my Lord Shah which sets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fully the background to this appeal. The two rulings involved in this appeal are the one made by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(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J) on 17 May 1999, and that made by him on 20 May 1999. The former was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upon the application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>, counsel for the Appellant, the Petitioner, to address the court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on the findings of the scrutiny and recount of the votes cast, but on other aspects of the scrutiny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do not relate to the physical scrutiny and recount of the votes cast. The Learned Judge,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there could be such aspects of the scrutiny and recount of votes, granted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to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informally make oral submissions purely on those aspects. The Learned Judge also, expressed his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displeasure at what he referred to as the piecemeal approach being adopted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thought, should have made submission on all matters related to the scrutiny and recount, and not merely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the result of the valid votes found to have been cast for the Petitioner and the First Respondent and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of them had more votes than the other and by how much. This is how the Learned Judge expressed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“However,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there may be aspects of scrutiny that are not necessarily on vote count and have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emerged out of recount finding and therefore in so far as we have focused only on votes there may be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something to be said on those aspects of the exercise.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While therefore I accept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 submit on those aspects, it will be clear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discuss the vote re-count and further he ought to have brought up this matter together with the re-count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 and finalization of votes instead of treating this from vote-result … It is this piecemeal approach that is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improper.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result is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that means everyone also will now submit on the matter but there will be no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reference to the vote and vote-recount.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I allow the application to that extent”.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ruling of 20 May 1999, appears to have arisen in this way. The Learned Judge had, albeit,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rather reluctantly, in his ruling of 17 May 1999, granted leave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make oral submissions on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aspects of the scrutiny and recount of the votes cast. Subsequent to this, and in conformity with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Judge’s ruling of 17 May 1999,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attempt to orally raise issues, not on the votes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actually cast, but on another aspect of the scrutiny, namely, the absence of written statements which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presiding officers are required by regulation 34 of the Presidential and Parliamentary Elections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to make, and which had not been included in the documents which the returning officer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should, in accordance with rule 19 of the National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Elections (Election Petition) Rules, deliver to the registrar of the election court “not less than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48 hours before the date fixed” for the trial of the election petition, was thwarted by the Learned Judge.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as if he had forgotten what he had reluctantly, but boldly, ordered in his Ruling of 17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May 1999, and indeed, he made no mention of it, refused to hear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on the grounds: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this having regard to the background of the ruling of 17 May 1999, would not seem to be so, that his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oral submissions would take the Respondents by surprise; strangely, that the issue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wished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submit upon did not originate from the ruling of 17 May 1999;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make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on the absence of the statements of the presiding officers without first giving evidence; that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should discountenance proceedings that would ambush, embarrass and prejudice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Respondents, and delay the proceedings; and that the Petitioner should file a written application.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not therefore surprising that, the ruling of 20 May 1999 being in conflict as it is with that of 17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1999, the Petitioner sought the review arising out of the two conflicting rulings. The First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preliminary ground of objection that the matter was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, was rightly dismissed by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who then proceeded to hear the application for review. As I have already alluded to,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rulings of 17 and 20 May 1999, are conflicting and there seems therefore to be an error on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 of the record of which the rulings form part. The first ruling clearly permitted the Petitioner to be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informally on issues that arise out of scrutiny but which do not relate to the physical counting,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 and consideration of the votes cast. The Petitioner was attempting to exercise this right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then thwarted by the second ruling for the inept reasons already referred to, such as,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being ambushed; and the need to terminate the election petition expeditiously – which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also be achieved by simply asking the deputy registrar if the presiding officers’ statements were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contained, as required by rule 19 of the National Assembly Elections (Election Petition) Rules, in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submitted by the returning officer.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ruling of 15 October 1999, which is the subject matter of the present appeal, the Learned Judge,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having earlier ruled against matters being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, made the following rather confusing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observation: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these rulings it is evident that the Courts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intent is to restrict new application and discussion on the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 of re-count and scrutiny which had already been proceeded with so as not to revisit the matters already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discussed. The intent of the court would appear to be to avoid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Res Judicata </w:t>
      </w:r>
      <w:r>
        <w:rPr>
          <w:rFonts w:ascii="Times New Roman" w:hAnsi="Times New Roman" w:cs="Times New Roman"/>
          <w:color w:val="000000"/>
          <w:sz w:val="20"/>
          <w:szCs w:val="20"/>
        </w:rPr>
        <w:t>situation and to limit if any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repetitive interlocutory applications and to ensure an expeditious disposal of this Petition”.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respect to the Learned Judge’s holding as to there being an error on the face of the record, he said, and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think that this does not answer the criticism of an error being on the face of the record, that: “There is no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mistake apparent on the face of the record where the court has rightly or wrongly come to a conclusion that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may be restrictive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unfavourable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 party in the suit”.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But this was not the issue involved; what was involved was not inconvenience or restrictiveness to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to a suit or error of law, but the apparent conflict on the face of the record, between the two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rulings on the issue whether the Petitioner’s counsel could make informal submissions on matters arising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of the scrutiny and recount which did not relate to the physical inspection and counting of the votes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cast and which is an error on the face of the record.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Judge’s observation also seemed to imply that his ruling, apparently the one of 20 May 1999, if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anything, should be appealed against. He put this more clearly in the following excerpt from his ruling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against: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“… Where a court is aware of what it is doing, a Review does not lie if that decision is erroneous. A court,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this Court is no exception, has jurisdiction to decide wrongly. And it is the court of appeal which has the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to correct that, and not for that court to sit on appeal on its judgment”.</w:t>
      </w:r>
      <w:r w:rsidR="008846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the right of review given by section 80 of the Civil Procedure Act and Order 44(1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Rules, requires the Learned Judge to consider a review application where an appeal lies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as in this case, no appeal has been filed, and it was wrong for this reason, for him to refuse to do so.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the appeal succeeds and the ruling of the Learned Judge of 15 October 1999, is hereby set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and would further order that the Petitioner’s counsel should be allowed to file a formal application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submit on matters discovered during the scrutiny. Costs of the review application and of the</w:t>
      </w:r>
      <w:r w:rsidR="008846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the Appellant.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F602C7" w:rsidRDefault="00F602C7" w:rsidP="00F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F602C7" w:rsidP="00F602C7"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C7"/>
    <w:rsid w:val="003F18BF"/>
    <w:rsid w:val="00884634"/>
    <w:rsid w:val="00F6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AA29D-D87C-452C-938D-804A1A79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4090</Words>
  <Characters>23315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2018-07-05T10:57:00Z</dcterms:created>
  <dcterms:modified xsi:type="dcterms:W3CDTF">2018-07-11T17:17:00Z</dcterms:modified>
</cp:coreProperties>
</file>