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DE" w:rsidRPr="005E3057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Saina v Republic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June 1973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1120/1972 (31/74)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James Wicks CJ and Trevelyan J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F959DE" w:rsidRDefault="00F959DE" w:rsidP="00F95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Duplicity – Several offences in same count – Incurable</w:t>
      </w:r>
      <w:r w:rsidR="005E305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illegality – Criminal Procedure Code, s. </w:t>
      </w:r>
      <w:r>
        <w:rPr>
          <w:rFonts w:ascii="Times New Roman" w:hAnsi="Times New Roman" w:cs="Times New Roman"/>
          <w:color w:val="000000"/>
        </w:rPr>
        <w:t>135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F959DE" w:rsidRDefault="005E3057" w:rsidP="005E30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959DE" w:rsidRDefault="00F959DE" w:rsidP="005E30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This was a most unsatisfactory case.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and others were charged in a single count with shop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breaking and theft, said to be contra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ss. 306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275 of the Penal Code, and, in the alternative, with handling stolen property contra s. 322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of that Code. The trial magistrate appears, as we think, not to have considered the charge sheet before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charged the appellant and his co-accused, and, as a result, there was a good deal of confusion, and a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errors was made.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the charge sheet been given proper consideration, it would have been seen that the first count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not the permitted one offence, but three, i.e. shop</w:t>
      </w:r>
      <w:r w:rsidR="0013563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breaking, contra s. 306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theft, under s. 275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Code and handling, against s. 322 (2). There are three and not two offences because the offence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306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includes the commission of the felony, in this case theft, in the building concerned. To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convicted the appellant of both offences, as was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done, meant that he was twice convicted for theft: </w:t>
      </w:r>
      <w:r>
        <w:rPr>
          <w:rFonts w:ascii="Times New Roman" w:hAnsi="Times New Roman" w:cs="Times New Roman"/>
          <w:i/>
          <w:iCs/>
          <w:color w:val="000000"/>
        </w:rPr>
        <w:t xml:space="preserve">R. v. Charles Awala </w:t>
      </w:r>
      <w:r>
        <w:rPr>
          <w:rFonts w:ascii="Times New Roman" w:hAnsi="Times New Roman" w:cs="Times New Roman"/>
          <w:color w:val="000000"/>
        </w:rPr>
        <w:t xml:space="preserve">(1949), 23 K.L.R. 61; </w:t>
      </w:r>
      <w:r>
        <w:rPr>
          <w:rFonts w:ascii="Times New Roman" w:hAnsi="Times New Roman" w:cs="Times New Roman"/>
          <w:i/>
          <w:iCs/>
          <w:color w:val="000000"/>
        </w:rPr>
        <w:t>Ayodi</w:t>
      </w:r>
      <w:r w:rsidR="005E305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Chumba v. R. </w:t>
      </w:r>
      <w:r>
        <w:rPr>
          <w:rFonts w:ascii="Times New Roman" w:hAnsi="Times New Roman" w:cs="Times New Roman"/>
          <w:color w:val="000000"/>
        </w:rPr>
        <w:t>(1950), 24 K.L.R. 93.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more serious aspect of the way in which the charge sheet was prepared and passed by the trial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magistrate, is that alternative charges are contained in a single count. The Court of Appeal, on the facts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it in </w:t>
      </w:r>
      <w:r>
        <w:rPr>
          <w:rFonts w:ascii="Times New Roman" w:hAnsi="Times New Roman" w:cs="Times New Roman"/>
          <w:i/>
          <w:iCs/>
          <w:color w:val="000000"/>
        </w:rPr>
        <w:t xml:space="preserve">Cherere Gukuli v. R. </w:t>
      </w:r>
      <w:r>
        <w:rPr>
          <w:rFonts w:ascii="Times New Roman" w:hAnsi="Times New Roman" w:cs="Times New Roman"/>
          <w:color w:val="000000"/>
        </w:rPr>
        <w:t>(1955), 22 E.A.C.A. 478, held that this mode of charging was not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a curable irregularity but an incurable illegality. S. 135 (2) of the Criminal Procedure Code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where more than one offence is charged in a charge or information, a description of each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shall be set out in a separate paragraph of that charge or information called a count. In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English case of </w:t>
      </w:r>
      <w:r>
        <w:rPr>
          <w:rFonts w:ascii="Times New Roman" w:hAnsi="Times New Roman" w:cs="Times New Roman"/>
          <w:i/>
          <w:iCs/>
          <w:color w:val="000000"/>
        </w:rPr>
        <w:t>R. v. Boyle</w:t>
      </w:r>
      <w:r>
        <w:rPr>
          <w:rFonts w:ascii="Times New Roman" w:hAnsi="Times New Roman" w:cs="Times New Roman"/>
          <w:color w:val="000000"/>
        </w:rPr>
        <w:t>, [1954] 2 All E.R. 721, which was mainly concerned with the procedure to be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 where several offences appear in the same charge or indictment, the court, dealing with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charging of alternative counts said: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“For instance, where there are counts of stealing and receiving it is proper that the two counts should be put</w:t>
      </w:r>
      <w:r w:rsidR="005E30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separately. . . .”</w:t>
      </w:r>
      <w:r w:rsidR="005E30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 is it the proper procedure in this country. It is, of course, in order to charge theft and handling in one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or information: </w:t>
      </w:r>
      <w:r>
        <w:rPr>
          <w:rFonts w:ascii="Times New Roman" w:hAnsi="Times New Roman" w:cs="Times New Roman"/>
          <w:i/>
          <w:iCs/>
          <w:color w:val="000000"/>
        </w:rPr>
        <w:t>Pita v. Republic</w:t>
      </w:r>
      <w:r>
        <w:rPr>
          <w:rFonts w:ascii="Times New Roman" w:hAnsi="Times New Roman" w:cs="Times New Roman"/>
          <w:color w:val="000000"/>
        </w:rPr>
        <w:t>, E.A.C.A. Cr. A. 66 of 1972 (unreported) but it must be done in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 counts.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magistrate, we are impelled to add, also appears to have paid little or no attention to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of s. 169 of the Criminal Procedure Code in regard to the contents of his judgment. Had it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otherwise, he could not have made the further mistakes which the record reveals and which we now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describe. He found that the appellant “broke in the shop of P.W.1 and stole from the shop these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properties”, i.e. that the appellant committed the offence of shopbreaking, convicted him of all three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contained in the count, and sentenced him for handling. There can be no doubt about this because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convicted the appellant “for the charges under count 1” and sentenced him to seven years’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with hard labour, which exceeds by two years the amount that he has power to award for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shopbreaking. He made his award as he did because “the offence has got a minimum sentence”.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Insofar as the facts are concerned, even had there been a full evaluation of the evidence, which there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not, a conviction could not, on what was before the trial court, properly have been entered. It is more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likely that if the property found in the appellant’s house was that stolen from the complainant,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thieves were more likely to have been the men who were in the house with him when the police called,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ran away and were later acquitted, than the appellant. He would the more likely have been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receiver. But the others were acquitted by the magistrate because, though they were in the house with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property, guilty knowledge could not be imputed to them. In those circumstances, was there not, then, at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 a doubt about the appellant’s guilt? One needs to ask oneself whether, having just stolen property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shop, he would display it to guests with whom he was playing cards. But assuming that there was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a conviction was yet not possible, for the appellant was not charged with the receiving type of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handling, but the retaining kind, i.e. that he handled the goods “for the benefit of unknown person”, and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inference could not properly have been drawn that anyone else was concerned. We draw attention to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of the Court of Appeal in </w:t>
      </w:r>
      <w:r>
        <w:rPr>
          <w:rFonts w:ascii="Times New Roman" w:hAnsi="Times New Roman" w:cs="Times New Roman"/>
          <w:i/>
          <w:iCs/>
          <w:color w:val="000000"/>
        </w:rPr>
        <w:t>Ratilal v. Republic</w:t>
      </w:r>
      <w:r>
        <w:rPr>
          <w:rFonts w:ascii="Times New Roman" w:hAnsi="Times New Roman" w:cs="Times New Roman"/>
          <w:color w:val="000000"/>
        </w:rPr>
        <w:t>, [1971] E.A. 575.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allowed. The conviction which State Counsel did not support, is quashed. We set the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aside and acquit the appellant.</w:t>
      </w:r>
      <w:r w:rsidR="005E30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F959DE" w:rsidRDefault="00F959DE" w:rsidP="00F95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appeared in person.</w:t>
      </w:r>
    </w:p>
    <w:p w:rsidR="00F959DE" w:rsidRDefault="00F959DE" w:rsidP="00F95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F959DE" w:rsidP="00F959DE">
      <w:r>
        <w:rPr>
          <w:rFonts w:ascii="Times New Roman" w:hAnsi="Times New Roman" w:cs="Times New Roman"/>
          <w:i/>
          <w:iCs/>
          <w:color w:val="000000"/>
        </w:rPr>
        <w:t xml:space="preserve">KA Amoo-Adare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E"/>
    <w:rsid w:val="00135638"/>
    <w:rsid w:val="005E3057"/>
    <w:rsid w:val="00664035"/>
    <w:rsid w:val="00F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5A0D8-8686-49CA-8891-1AD1B95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2018-07-05T13:08:00Z</dcterms:created>
  <dcterms:modified xsi:type="dcterms:W3CDTF">2018-07-11T17:09:00Z</dcterms:modified>
</cp:coreProperties>
</file>