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E96" w:rsidRDefault="00EF3E96" w:rsidP="0089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Salasia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Muchira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EF3E96" w:rsidRDefault="00EF3E96" w:rsidP="0089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F3E96" w:rsidRDefault="00EF3E96" w:rsidP="0089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2005</w:t>
      </w:r>
    </w:p>
    <w:p w:rsidR="00EF3E96" w:rsidRDefault="00EF3E96" w:rsidP="0089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188/04</w:t>
      </w:r>
    </w:p>
    <w:p w:rsidR="00EF3E96" w:rsidRDefault="00EF3E96" w:rsidP="0089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F3E96" w:rsidRDefault="00EF3E96" w:rsidP="0089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F3E96" w:rsidRDefault="00EF3E96" w:rsidP="00EF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Striking out notice of appeal and appeal itself – Application to be made within 30 days of</w:t>
      </w:r>
      <w:r w:rsidR="00894E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service.</w:t>
      </w:r>
    </w:p>
    <w:p w:rsidR="00EF3E96" w:rsidRDefault="00894EB7" w:rsidP="00894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F3E96" w:rsidRDefault="00EF3E96" w:rsidP="00894E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The application before us is a non-starter. It is a notice of motion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out by the intended respondent in the main appeal (who was the plaintiff before the superior court)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an order that the notice of appeal filed by the intended appellants (the original defendants) on 1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2002 be struck out. The filing of the notice of appeal was timeous since the judgment of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was delivered on 23 October 2002. It is common ground, however, that service of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appeal was made on 11 November 2002 which, on the face of it, is four days outside the period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under rule 76(1) of this Court’s rules. The application to strike out the notice of appeal was,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filed on 28 July 2004, about 1 year 8 months after the offending notice of appeal was served.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said nothing about the rule under which this application was taken out and it is not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on the face of the application. But the court drew the attention of learned Counsel for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Ombete</w:t>
      </w:r>
      <w:proofErr w:type="spellEnd"/>
      <w:r>
        <w:rPr>
          <w:rFonts w:ascii="Times New Roman" w:hAnsi="Times New Roman" w:cs="Times New Roman"/>
          <w:color w:val="000000"/>
        </w:rPr>
        <w:t>, to rule 80 as amended on 4 July 2002, and sought his submissions thereon.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states: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“80 A person affected by an appeal may, apply to the court to strike out the notice of appeal or the appeal,</w:t>
      </w:r>
      <w:r w:rsidR="00894E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the case may be, on the ground that no appeal lies or that some essential step in the proceedings has</w:t>
      </w:r>
      <w:r w:rsidR="00894E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been taken or has not been taken within the prescribed time:</w:t>
      </w:r>
      <w:r w:rsidR="00894E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an application to strike out a notice of appeal or an appeal shall not be brought after the</w:t>
      </w:r>
      <w:r w:rsidR="00894E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expiry of thirty days (30) from the date of service of the record of appeal on the respondent”</w:t>
      </w:r>
      <w:r w:rsidR="00894E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Ombete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view, the rule and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thereto notwithstanding, that the application to strike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can be made at any time since the limitation under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relates to the main appeal only. In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before us, he submitted, no appeal has been filed 3 years after service of the notice of appeal and it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take yet another long while before the appeal is heard and determined. That is why the applicant has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the application since the delay is prejudicial.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his part, learned Counsel 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Kiogora</w:t>
      </w:r>
      <w:proofErr w:type="spellEnd"/>
      <w:r>
        <w:rPr>
          <w:rFonts w:ascii="Times New Roman" w:hAnsi="Times New Roman" w:cs="Times New Roman"/>
          <w:color w:val="000000"/>
        </w:rPr>
        <w:t>, submitted that there was no delay in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serving the notice of appeal, reasoning, as he did, that weekends, and the day an event happens, are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“excluded days” under the provisions of rule 3 of the rules of this Court. The provisions of that rule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 to computation of time and are extracted word for word from section 57 of the Interpretation and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Provisions, Act Chapter 2, Laws of Kenya, with only one exception; that is the amendment made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section by Act 11 of 1993 to include “all official non-working days” as part of the excluded period.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neither provision, however, is it stated that all weekends are an excluded period and we are in no doubt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Kiogora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placed an erroneous construction to the rules.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only valid point raised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Kiogora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that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to rule 80 was applicable to both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appeal and the appeal. It plainly must be so from the logic of it, although the wording could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been, expressly, better put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 starting point is the mischief that the amendment of the rule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intended to address. And that was the practice by parties, either by design, negligence or pure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inaction, waiting for days, months or even years until the very minute when the appeal is called out for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hearing, only to seek the striking</w:t>
      </w:r>
      <w:bookmarkStart w:id="0" w:name="_GoBack"/>
      <w:bookmarkEnd w:id="0"/>
      <w:r w:rsidR="00894EB7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out of either the notice of appeal or the appeal or both. Apart from the element of surprise to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it was disruptive of the court’s time and the calendar for conduct of its core business.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former rule 80 gave express sanction for applications of such nature to be made “at any time” by any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on whom a notice of appeal had been served. Rule 101(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which applies at the hearing of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which is intended to deter a respondent from objecting to the competence of an appeal on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that could have been raised under rule 80, did not seem to address the mischief fully as it leaves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with a discretion. And so it was, that if a person affected by an appeal chose to seek to strike out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of appeal or the appeal or either of them, they were free to do so under the amended rule, but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within 30 days of service. If it was an application in respect of the notice of appeal, then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 should be made within 30 days of service thereof. If it was the appeal itself, the same limitation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applies. We cannot readily cite specific cases, but we are aware that this Court has rejected many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applications, similar to the current one, on that basis. At all events,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to the rule refers to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of the record of appeal which by definition is a reference to both the notice of appeal and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 appeal as provided for under rule 85 of the rules. We are in no doubt that the intendment of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rule 80 was to limit the period within which challenges to a record of appeal, including a notice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appeal, may be made and it is clear to us that the application before us is not in compliance with the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this Court. It is for dismissal and we so order costs of the application to the respondents.</w:t>
      </w:r>
      <w:r w:rsidR="00894E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EF3E96" w:rsidRDefault="00EF3E96" w:rsidP="00EF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Ombete</w:t>
      </w:r>
      <w:proofErr w:type="spellEnd"/>
    </w:p>
    <w:p w:rsidR="00EF3E96" w:rsidRDefault="00EF3E96" w:rsidP="00EF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EF3E96" w:rsidP="00EF3E96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Kiogora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96"/>
    <w:rsid w:val="00366D10"/>
    <w:rsid w:val="00894EB7"/>
    <w:rsid w:val="00E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A6D93-FC70-4A7D-9EC7-E75AB021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2018-07-04T20:11:00Z</dcterms:created>
  <dcterms:modified xsi:type="dcterms:W3CDTF">2018-07-11T17:05:00Z</dcterms:modified>
</cp:coreProperties>
</file>