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BC6" w:rsidRDefault="00B44BC6" w:rsidP="00A730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Sandhu v Noble Builders (U) Ltd and another</w:t>
      </w:r>
    </w:p>
    <w:p w:rsidR="00B44BC6" w:rsidRDefault="00B44BC6" w:rsidP="00A730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B44BC6" w:rsidRDefault="00B44BC6" w:rsidP="00A730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February 2005</w:t>
      </w:r>
    </w:p>
    <w:p w:rsidR="00B44BC6" w:rsidRDefault="00B44BC6" w:rsidP="00A730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13/02</w:t>
      </w:r>
    </w:p>
    <w:p w:rsidR="00B44BC6" w:rsidRDefault="00B44BC6" w:rsidP="00A730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B44BC6" w:rsidRDefault="00B44BC6" w:rsidP="00A730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44BC6" w:rsidRDefault="00B44BC6" w:rsidP="00B44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Company law – Change of directors and shareholders – Status of directors and shareholders –</w:t>
      </w:r>
    </w:p>
    <w:p w:rsidR="00B44BC6" w:rsidRDefault="00B44BC6" w:rsidP="00B44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Completion and registration of form A8 showing change of directors and members – Effect of form on</w:t>
      </w:r>
      <w:r w:rsidR="00A7301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status of directors and members – Whether the appellant had ceased to be a director and member of first</w:t>
      </w:r>
      <w:r w:rsidR="00A7301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respondent on registration of form – Whether appellant had locus standi to seek winding up of company</w:t>
      </w:r>
    </w:p>
    <w:p w:rsidR="00B44BC6" w:rsidRDefault="00B44BC6" w:rsidP="00B44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Form A8 – Companies Act.</w:t>
      </w:r>
    </w:p>
    <w:p w:rsidR="00B44BC6" w:rsidRDefault="00B44BC6" w:rsidP="00B44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– Judgments – Content of judgments – Addition to jurisprudence of Uganda – Whether it</w:t>
      </w:r>
      <w:r w:rsidR="00A7301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was obligatory for judgments to add to the jurisprudence of the country.</w:t>
      </w:r>
    </w:p>
    <w:p w:rsidR="00B44BC6" w:rsidRDefault="00B44BC6" w:rsidP="00B44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A73015" w:rsidRDefault="00B44BC6" w:rsidP="00A73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appellant, JSS, and the second respondent, RSS, were the initial subscribers to the first respondent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company. They formed the company on 5 January 1984. </w:t>
      </w:r>
      <w:r w:rsidR="00A73015">
        <w:rPr>
          <w:rFonts w:ascii="Times New Roman" w:hAnsi="Times New Roman" w:cs="Times New Roman"/>
          <w:color w:val="000000"/>
        </w:rPr>
        <w:t>Sometime</w:t>
      </w:r>
      <w:r>
        <w:rPr>
          <w:rFonts w:ascii="Times New Roman" w:hAnsi="Times New Roman" w:cs="Times New Roman"/>
          <w:color w:val="000000"/>
        </w:rPr>
        <w:t xml:space="preserve"> later, the appellant notified the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 of Companies that as of 12 January 1984, he had ceased to be a director and member in the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and had appointed his wife to replace him as director and member. This notification was done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filling out company form A8, which was signed and dated 30 April 1984. Shortly afterwards, the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left for Canada and became a resident there. He was later followed by his wife. The second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stayed behind and ran the business which registered some success. When the appellant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eventually returned to Uganda, he asked the company to account for the profits it had made in his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absence. The second respondent refused to do so, on the ground that the appellant had ceased to be a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shareholder in the company before departing for Canada and thus had no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to make the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demand.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then decided to petition the High Court for orders to wind up the company and to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declare the second respondent a delinquent director. The trial court found in the appellant’s favour and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the orders prayed for in the petition. On appeal to the Court of Appeal, the decision was reversed.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now appealed to the Supreme Court on the grounds,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Court of Appeal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erred in finding that the appellant had validly transferred his shares to his wife, in finding that he had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relinquished his membership by signing form A8, and in ignoring the other grounds of appeal, which had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raised important questions for the jurisprudence of the country. Counsel for the appellant argued that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the formalities for the transfer of shares under the Companies Act had not been followed, the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 transfer had never been effective. In reply, counsel for the respondent argued that the words used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transfer form were clear and unambiguous and ought to be given their natural and technical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meaning.</w:t>
      </w:r>
      <w:r w:rsidR="00A73015">
        <w:rPr>
          <w:rFonts w:ascii="Times New Roman" w:hAnsi="Times New Roman" w:cs="Times New Roman"/>
          <w:color w:val="000000"/>
        </w:rPr>
        <w:t xml:space="preserve"> </w:t>
      </w:r>
    </w:p>
    <w:p w:rsidR="00A73015" w:rsidRDefault="00A73015" w:rsidP="00A73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73015" w:rsidRDefault="00B44BC6" w:rsidP="00A73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basis of the court’s consideration in any case was the application of law and principles of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justice, founded on the actual facts and circumstances of the case. The function of the court was to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resolve disputes judicially and not to seek and declare jurisprudential wisdom. Such wisdom evolved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incidentally and not by design, in any one given case. The notion that a court’s decision was open to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challenge an appeal because it had not enhanced the jurisprudence of Uganda in the course of its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deliberations was very </w:t>
      </w:r>
      <w:r w:rsidR="00A73015">
        <w:rPr>
          <w:rFonts w:ascii="Times New Roman" w:hAnsi="Times New Roman" w:cs="Times New Roman"/>
          <w:color w:val="000000"/>
        </w:rPr>
        <w:t>farfetched</w:t>
      </w:r>
      <w:r>
        <w:rPr>
          <w:rFonts w:ascii="Times New Roman" w:hAnsi="Times New Roman" w:cs="Times New Roman"/>
          <w:color w:val="000000"/>
        </w:rPr>
        <w:t>.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pivotal issue to be determined was whether or not the appellant had completed form A8 and, if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so, what effect registration of the form had on the status, rights and obligations of directors and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shareholders of the company. In this instance, the Court of Appeal could not be faulted for finding that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words used in the transfer form meant that the appellant had not only ceased to be a director but also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member of the company. The appellant admitted signing the document and the evidence showed that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appellant’s wife acquired the appellant’s shares and remained the second director and owner of 49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percent of the shares in the company. The appellant, therefore, had no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in the affairs of the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and could neither petition for its winding up nor could he call upon the second respondent to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 to him.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Tsekooko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JSC </w:t>
      </w:r>
      <w:r>
        <w:rPr>
          <w:rFonts w:ascii="Times New Roman" w:hAnsi="Times New Roman" w:cs="Times New Roman"/>
          <w:color w:val="000000"/>
        </w:rPr>
        <w:t>– It was clear that the appellant ceased to be a director and member of the company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12 January 1984 or, at the latest, when the transfer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form was lodged in the Registry of Companies. For him to come to court nearly twenty years later,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seeking to have the company wound up was nothing short of a deliberate attempt to abuse court process.</w:t>
      </w:r>
      <w:r w:rsidR="00A730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dismissed with costs to the respondents.</w:t>
      </w:r>
      <w:r w:rsidR="00A73015">
        <w:rPr>
          <w:rFonts w:ascii="Times New Roman" w:hAnsi="Times New Roman" w:cs="Times New Roman"/>
          <w:color w:val="000000"/>
        </w:rPr>
        <w:t xml:space="preserve"> </w:t>
      </w:r>
    </w:p>
    <w:p w:rsidR="00A73015" w:rsidRDefault="00A73015" w:rsidP="00A73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44BC6" w:rsidRDefault="00B44BC6" w:rsidP="00A730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B44BC6" w:rsidRDefault="00B44BC6" w:rsidP="00B44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B44BC6" w:rsidRDefault="00B44BC6" w:rsidP="00B44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B44BC6" w:rsidRDefault="00B44BC6" w:rsidP="00B44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B44BC6" w:rsidRDefault="00B44BC6" w:rsidP="00B44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B44BC6" w:rsidRDefault="00B44BC6" w:rsidP="00B44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Henry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Kawalya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Dan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Semakadde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Complimentary cause number 8 of 1990</w:t>
      </w:r>
    </w:p>
    <w:p w:rsidR="00B44BC6" w:rsidRDefault="00B44BC6" w:rsidP="00B44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Company Advocates v Attorney-General </w:t>
      </w:r>
      <w:r>
        <w:rPr>
          <w:rFonts w:ascii="Times New Roman" w:hAnsi="Times New Roman" w:cs="Times New Roman"/>
          <w:color w:val="000000"/>
        </w:rPr>
        <w:t xml:space="preserve">suit </w:t>
      </w:r>
      <w:proofErr w:type="gramStart"/>
      <w:r>
        <w:rPr>
          <w:rFonts w:ascii="Times New Roman" w:hAnsi="Times New Roman" w:cs="Times New Roman"/>
          <w:color w:val="000000"/>
        </w:rPr>
        <w:t>Civil</w:t>
      </w:r>
      <w:proofErr w:type="gramEnd"/>
      <w:r>
        <w:rPr>
          <w:rFonts w:ascii="Times New Roman" w:hAnsi="Times New Roman" w:cs="Times New Roman"/>
          <w:color w:val="000000"/>
        </w:rPr>
        <w:t xml:space="preserve"> case number 43 of 1955</w:t>
      </w:r>
    </w:p>
    <w:p w:rsidR="00B44BC6" w:rsidRDefault="00B44BC6" w:rsidP="00B44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Noble Builders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Sietco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</w:t>
      </w:r>
      <w:r>
        <w:rPr>
          <w:rFonts w:ascii="Times New Roman" w:hAnsi="Times New Roman" w:cs="Times New Roman"/>
          <w:color w:val="000000"/>
        </w:rPr>
        <w:t>High Court suit number 174 of 1994</w:t>
      </w:r>
    </w:p>
    <w:p w:rsidR="00B44BC6" w:rsidRDefault="00B44BC6" w:rsidP="00B44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Nurdin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Bankali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Lombarak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Tanganyika Limited </w:t>
      </w:r>
      <w:r>
        <w:rPr>
          <w:rFonts w:ascii="Times New Roman" w:hAnsi="Times New Roman" w:cs="Times New Roman"/>
          <w:color w:val="000000"/>
        </w:rPr>
        <w:t>[1963] EA 304</w:t>
      </w:r>
    </w:p>
    <w:p w:rsidR="00B44BC6" w:rsidRDefault="00B44BC6" w:rsidP="00B44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B44BC6" w:rsidRDefault="00B44BC6" w:rsidP="00B44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Colonial Bank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Hapworth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[1887] Volume 36 Chapter 37</w:t>
      </w:r>
    </w:p>
    <w:p w:rsidR="00366D10" w:rsidRDefault="00B44BC6" w:rsidP="00B44BC6">
      <w:r>
        <w:rPr>
          <w:rFonts w:ascii="Times New Roman" w:hAnsi="Times New Roman" w:cs="Times New Roman"/>
          <w:i/>
          <w:iCs/>
          <w:color w:val="000000"/>
        </w:rPr>
        <w:t xml:space="preserve">Re Tal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Drws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State Company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Mackley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case) 1875 1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247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C6"/>
    <w:rsid w:val="00366D10"/>
    <w:rsid w:val="00A73015"/>
    <w:rsid w:val="00B4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13B4B-7EF7-4809-8398-9AD4349A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2018-07-04T20:12:00Z</dcterms:created>
  <dcterms:modified xsi:type="dcterms:W3CDTF">2018-07-11T17:03:00Z</dcterms:modified>
</cp:coreProperties>
</file>