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21E" w:rsidRDefault="009A021E" w:rsidP="00FA18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Sandhu v Noble Builders (U) Ltd and another</w:t>
      </w:r>
    </w:p>
    <w:p w:rsidR="009A021E" w:rsidRDefault="009A021E" w:rsidP="00FA18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9A021E" w:rsidRDefault="009A021E" w:rsidP="00FA18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February 2005</w:t>
      </w:r>
    </w:p>
    <w:p w:rsidR="009A021E" w:rsidRDefault="009A021E" w:rsidP="00FA18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13/02</w:t>
      </w:r>
    </w:p>
    <w:p w:rsidR="009A021E" w:rsidRDefault="009A021E" w:rsidP="00FA18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9A021E" w:rsidRDefault="009A021E" w:rsidP="00FA18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law – Change of directors and shareholders – Status of directors and shareholders –</w:t>
      </w:r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Completion and registration of form A8 showing change of directors and members – Effect of form on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status of directors and members – Whether the appellant had ceased to be a director and member of first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respondent on registration of form – Whether appellant had locus standi to seek winding up of company</w:t>
      </w:r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Form A8 – Companies Act.</w:t>
      </w:r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Judgments – Content of judgments – Addition to jurisprudence of Uganda – Whether it</w:t>
      </w:r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was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obligatory for judgments to add to the jurisprudence of the country.</w:t>
      </w:r>
    </w:p>
    <w:p w:rsidR="009A021E" w:rsidRDefault="00FA18C7" w:rsidP="00FA18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A18C7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This is a second appeal from the judgment of the Court of Appeal allowing an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from the judgment and orders of the High Court, (</w:t>
      </w:r>
      <w:proofErr w:type="spellStart"/>
      <w:r>
        <w:rPr>
          <w:rFonts w:ascii="Times New Roman" w:hAnsi="Times New Roman" w:cs="Times New Roman"/>
          <w:color w:val="000000"/>
        </w:rPr>
        <w:t>Okumu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Wengi</w:t>
      </w:r>
      <w:proofErr w:type="spellEnd"/>
      <w:r>
        <w:rPr>
          <w:rFonts w:ascii="Times New Roman" w:hAnsi="Times New Roman" w:cs="Times New Roman"/>
          <w:color w:val="000000"/>
        </w:rPr>
        <w:t xml:space="preserve"> J) in which the appellant had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the successful plaintiff.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facts of this case may 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</w:t>
      </w:r>
      <w:proofErr w:type="spellStart"/>
      <w:r>
        <w:rPr>
          <w:rFonts w:ascii="Times New Roman" w:hAnsi="Times New Roman" w:cs="Times New Roman"/>
          <w:color w:val="000000"/>
        </w:rPr>
        <w:t>Jaspal</w:t>
      </w:r>
      <w:proofErr w:type="spellEnd"/>
      <w:r>
        <w:rPr>
          <w:rFonts w:ascii="Times New Roman" w:hAnsi="Times New Roman" w:cs="Times New Roman"/>
          <w:color w:val="000000"/>
        </w:rPr>
        <w:t xml:space="preserve"> Singh Sandhu and the second respondent, </w:t>
      </w:r>
      <w:proofErr w:type="spellStart"/>
      <w:r>
        <w:rPr>
          <w:rFonts w:ascii="Times New Roman" w:hAnsi="Times New Roman" w:cs="Times New Roman"/>
          <w:color w:val="000000"/>
        </w:rPr>
        <w:t>Raghbir</w:t>
      </w:r>
      <w:proofErr w:type="spellEnd"/>
      <w:r>
        <w:rPr>
          <w:rFonts w:ascii="Times New Roman" w:hAnsi="Times New Roman" w:cs="Times New Roman"/>
          <w:color w:val="000000"/>
        </w:rPr>
        <w:t xml:space="preserve"> Singh Sandhu formed the first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Noble Builders (U) Ltd (hereinafter called the respondent company) on 5 January 1984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it registered. On 12 January 1984, the appellant notified the Registrar of Companies that he had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ceased to be a director and member in the respondent company and that he had appointed his wife,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Balwinder</w:t>
      </w:r>
      <w:proofErr w:type="spellEnd"/>
      <w:r>
        <w:rPr>
          <w:rFonts w:ascii="Times New Roman" w:hAnsi="Times New Roman" w:cs="Times New Roman"/>
          <w:color w:val="000000"/>
        </w:rPr>
        <w:t xml:space="preserve"> Kaur Sandhu, to replace him as both director and member. The day before this notification,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filled in and completed company form A8 which he personally signed showing that 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ceased to be a director/member of the respondent company and his wife was appointed a new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director/member of the company. Shortly after these transactions, the appellant left for Canada, where 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became a resident. Later on, his wife followed him. In the meantime, the second respondent stayed in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running and administering the business affairs of the respondent company. It would appear that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company registered some business successes because when eventually the appellant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returned to Uganda, he discovered that the respondent company had made profits for which he asked that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to account.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 refused to account for the profits of the respondent company on the ground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since the appellant had ceased to be a shareholder before departing for Canada, he had no </w:t>
      </w:r>
      <w:r>
        <w:rPr>
          <w:rFonts w:ascii="Times New Roman" w:hAnsi="Times New Roman" w:cs="Times New Roman"/>
          <w:i/>
          <w:iCs/>
          <w:color w:val="000000"/>
        </w:rPr>
        <w:t>locus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standi </w:t>
      </w:r>
      <w:r>
        <w:rPr>
          <w:rFonts w:ascii="Times New Roman" w:hAnsi="Times New Roman" w:cs="Times New Roman"/>
          <w:color w:val="000000"/>
        </w:rPr>
        <w:t>in the company and could,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not claim accountability from it. Faced with this resistance from the second respondent,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decided to petition the High Court to order the winding up of the respondent company and to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 the second respondent a delinquent director with an order to account for all the monies and assets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respondent company. The trial judge entered judgment for the appellant and made the orders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prayed for in the petition. In addition, the learned trial </w:t>
      </w:r>
      <w:proofErr w:type="spellStart"/>
      <w:r>
        <w:rPr>
          <w:rFonts w:ascii="Times New Roman" w:hAnsi="Times New Roman" w:cs="Times New Roman"/>
          <w:color w:val="000000"/>
        </w:rPr>
        <w:t>Judgej</w:t>
      </w:r>
      <w:proofErr w:type="spellEnd"/>
      <w:r>
        <w:rPr>
          <w:rFonts w:ascii="Times New Roman" w:hAnsi="Times New Roman" w:cs="Times New Roman"/>
          <w:color w:val="000000"/>
        </w:rPr>
        <w:t xml:space="preserve"> ordered the appellant’s name to be restored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company register.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Dissatisfied with the judgment and orders of the High Court, the respondents appealed to the Court of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which allowed the appeal- hence this appeal.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Mubiru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Bwanika</w:t>
      </w:r>
      <w:proofErr w:type="spellEnd"/>
      <w:r>
        <w:rPr>
          <w:rFonts w:ascii="Times New Roman" w:hAnsi="Times New Roman" w:cs="Times New Roman"/>
          <w:color w:val="000000"/>
        </w:rPr>
        <w:t>, counsel for the appellant, had filed nine grounds of appeal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us, but after objections from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color w:val="000000"/>
        </w:rPr>
        <w:t>, counsel for the respondents, that some of the grounds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framed for the appeal offended against rule 81 of the rules of this Court,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Mubiru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Bwanika</w:t>
      </w:r>
      <w:proofErr w:type="spellEnd"/>
      <w:r>
        <w:rPr>
          <w:rFonts w:ascii="Times New Roman" w:hAnsi="Times New Roman" w:cs="Times New Roman"/>
          <w:color w:val="000000"/>
        </w:rPr>
        <w:t>, abandoned grounds 6, 7 and 9. They argued grounds 1 and 8 separately and grounds 2 and 3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 and 4 and 5 together, respectively. The grounds argued were framed as follows:</w:t>
      </w:r>
      <w:r w:rsidR="00FA18C7">
        <w:rPr>
          <w:rFonts w:ascii="Times New Roman" w:hAnsi="Times New Roman" w:cs="Times New Roman"/>
          <w:color w:val="000000"/>
        </w:rPr>
        <w:t xml:space="preserve"> </w:t>
      </w:r>
    </w:p>
    <w:p w:rsidR="00FA18C7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fact and law in finding that the words contained in company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 number A8 were unambiguous.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A18C7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contradicted themselves and thereby arrived at the wrong decision after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correctly finding that shares can only be transferred in accordance with section 75 of the Companies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and then finding that the appellant validly transferred his shares to his wife.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A18C7" w:rsidRDefault="00FA18C7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T</w:t>
      </w:r>
      <w:r w:rsidR="009A021E">
        <w:rPr>
          <w:rFonts w:ascii="Times New Roman" w:hAnsi="Times New Roman" w:cs="Times New Roman"/>
          <w:color w:val="000000"/>
          <w:sz w:val="20"/>
          <w:szCs w:val="20"/>
        </w:rPr>
        <w:t>he learned Justices of the Court of Appeal erred in finding that the appellant relinquished 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A021E">
        <w:rPr>
          <w:rFonts w:ascii="Times New Roman" w:hAnsi="Times New Roman" w:cs="Times New Roman"/>
          <w:color w:val="000000"/>
          <w:sz w:val="20"/>
          <w:szCs w:val="20"/>
        </w:rPr>
        <w:t>membership in the first respondent by signing company form number A8.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A18C7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misdirected themselves and erred in law, in finding that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given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Noble Builders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Sietco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Ltd,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suit number 174 of 1994, was inadmissible.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A18C7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The learned Justices of the Court of Appeal erred in holding that had the trial judge not relied on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evidence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Noble Builders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Sietco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Ltd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civil suit number 174 of 1990, he would have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come to different conclusions.</w:t>
      </w:r>
    </w:p>
    <w:p w:rsidR="00FA18C7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grossly erred and misdirected themselves in holding that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whole appeal case resolved on one issue only and thereby ignored other grounds of appeal, which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raised important questions for the jurisprudence of this country.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appellant proceeded to present numerous and prolonged arguments and submissions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were not always designed to advance their client’s cause. Counsel advanced arguments which had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made in both the Court of Appeal and the High Court. Much of the same had been covered in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lengthy written submissions which contained much more than what was pertinently relevant to this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Indeed, the Court of Appeal aptly described all these submissions and arguments as copious. I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note that ground 8 of the appeal complains that the justices of appeal grossly erred and misdirected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themselves, when they held that the whole appeal case revolved on one issue only and thereby ignored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grounds of appeal which raised important questions for the jurisprudence of this country. Important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jurisprudence of this country may be, the basis of the court’s consideration in any case is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of law and principles of justice founded on the actual facts and circumstances of the case.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primary function of the court, in determining a case involving disputes amongst citizens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organisations</w:t>
      </w:r>
      <w:proofErr w:type="spellEnd"/>
      <w:r>
        <w:rPr>
          <w:rFonts w:ascii="Times New Roman" w:hAnsi="Times New Roman" w:cs="Times New Roman"/>
          <w:color w:val="000000"/>
        </w:rPr>
        <w:t>, is to resolve those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disputes judicially and not to seek and declare jurisprudential wisdom. Such wisdom evolves incidentally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by design in any one given case.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notion that because in its deliberations, a given court did not enhance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knowledge of jurisprudence in Uganda, should constitute a ground of appeal is very </w:t>
      </w:r>
      <w:proofErr w:type="spellStart"/>
      <w:r>
        <w:rPr>
          <w:rFonts w:ascii="Times New Roman" w:hAnsi="Times New Roman" w:cs="Times New Roman"/>
          <w:color w:val="000000"/>
        </w:rPr>
        <w:t>far fetched</w:t>
      </w:r>
      <w:proofErr w:type="spellEnd"/>
      <w:r>
        <w:rPr>
          <w:rFonts w:ascii="Times New Roman" w:hAnsi="Times New Roman" w:cs="Times New Roman"/>
          <w:color w:val="000000"/>
        </w:rPr>
        <w:t xml:space="preserve"> in any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system. For these reasons, I would dismiss ground 8 of the appeal.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pursued the voluminous record of proceedings and heard counsel, I am of the same view as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Kato JA, who wrote the lead judgment in the Court of </w:t>
      </w:r>
      <w:proofErr w:type="gramStart"/>
      <w:r>
        <w:rPr>
          <w:rFonts w:ascii="Times New Roman" w:hAnsi="Times New Roman" w:cs="Times New Roman"/>
          <w:color w:val="000000"/>
        </w:rPr>
        <w:t>Appeal, that</w:t>
      </w:r>
      <w:proofErr w:type="gramEnd"/>
      <w:r>
        <w:rPr>
          <w:rFonts w:ascii="Times New Roman" w:hAnsi="Times New Roman" w:cs="Times New Roman"/>
          <w:color w:val="000000"/>
        </w:rPr>
        <w:t xml:space="preserve"> this whole case resolves on one vital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issue. That issue is whether or not it was the appellant who completed form A8 of the Companies Act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if so, what effect the registration of that same form had on the status, rights and obligations of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 and shareholders of the company. It is pleaded on behalf of the appellant, that he is still a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respondent company with all his rights as a member subsisting and enforceable.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 claims that the appellant ceased to be a member the day he surrendered his shares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membership of the company to his wife and that from then onwards, he ceased to have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claim any rights either as a member or as a contributory. If the evidence was to show that as a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company and it is so declared by court, the court would proceed to consider the other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appeal including a declaration of rights and compensation, if any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If the pleadings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prove that the appellant ceased to be both a member and a contributory of the company,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ends there because all the other listed grounds would only be considered on the presumption that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is still a member and contributory of the company.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the grounds which are pertinently relevant to matters in this appeal are grounds 1, 2, 3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8 of the appeal. I have already disposed of ground 8.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ground 1,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Mubiru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Kalenge</w:t>
      </w:r>
      <w:proofErr w:type="spellEnd"/>
      <w:r>
        <w:rPr>
          <w:rFonts w:ascii="Times New Roman" w:hAnsi="Times New Roman" w:cs="Times New Roman"/>
          <w:color w:val="000000"/>
        </w:rPr>
        <w:t>, counsel for the appellant, submitted that the Court of Appeal erred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fact and law in holding that the words which the appellant used in completing form A8 of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Companies Act were vague, ambiguous and confusing. Counsel again contended that in light of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nature of the words used, it could not be deduced from the completed form </w:t>
      </w:r>
      <w:proofErr w:type="gramStart"/>
      <w:r>
        <w:rPr>
          <w:rFonts w:ascii="Times New Roman" w:hAnsi="Times New Roman" w:cs="Times New Roman"/>
          <w:color w:val="000000"/>
        </w:rPr>
        <w:t>A8, that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 had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surrendered or transferred his shares to his wife. Counsel contended that the appellant had signed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and Articles of association of the first respondent. They were subsequently registered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virtue of this procedure, the appellant had become a member of and a </w:t>
      </w:r>
      <w:proofErr w:type="spellStart"/>
      <w:r>
        <w:rPr>
          <w:rFonts w:ascii="Times New Roman" w:hAnsi="Times New Roman" w:cs="Times New Roman"/>
          <w:color w:val="000000"/>
        </w:rPr>
        <w:t>contributory</w:t>
      </w:r>
      <w:proofErr w:type="spellEnd"/>
      <w:r>
        <w:rPr>
          <w:rFonts w:ascii="Times New Roman" w:hAnsi="Times New Roman" w:cs="Times New Roman"/>
          <w:color w:val="000000"/>
        </w:rPr>
        <w:t xml:space="preserve"> to the respondent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Mubiru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contended that the appellant has had those shares registered in 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since 1984, and he is still their owner. Counsel pointed out that the appellant never relinquished or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transferred his shares to anyone, at all. This is evidenced furthered by the fact that the formalities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demanded under the Companies Act for the transfer of shares were not followed. Consequently,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wife was never registered as the transferee of the shares.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further contended that the alleged act of transfer to his wife was never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effective. In the first instance, form A8 which he completed was headed “Notification of Change of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 or Secretary or In the Particular” and was not designed for the surrender or transfer of shares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Mubiru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submitted that for a transfer of shares to be effective, the transfer has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comply with the provisions of the Companies Act and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of association of the company in question. He cited the relevant provisions for his submissions.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relation to the doctrine of estoppel which had been advanced on behalf of the respondents in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Appeal, counsel for the appellant contended that it was not applicable in this case since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attempted transfer of the appellant’s shares had not succeeded. Counsel submitted further that the fact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stamp duty had been paid on the transfer is further evidence that the appellant was still the true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owner of his shares in the first respondent and any purported transfer of his shares did not </w:t>
      </w:r>
      <w:proofErr w:type="spellStart"/>
      <w:r>
        <w:rPr>
          <w:rFonts w:ascii="Times New Roman" w:hAnsi="Times New Roman" w:cs="Times New Roman"/>
          <w:color w:val="000000"/>
        </w:rPr>
        <w:t>materialise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Bwanika</w:t>
      </w:r>
      <w:proofErr w:type="spellEnd"/>
      <w:r>
        <w:rPr>
          <w:rFonts w:ascii="Times New Roman" w:hAnsi="Times New Roman" w:cs="Times New Roman"/>
          <w:color w:val="000000"/>
        </w:rPr>
        <w:t>, second counsel for the appellant, made submissions on grounds 4, 5 and 8. On grounds 4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5, he contended that the learned Justices of Appeal had not properly evaluated the evidence. In 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view, they had failed to consider the appellant’s counsel’s submissions and arguments.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Bwanika</w:t>
      </w:r>
      <w:proofErr w:type="spellEnd"/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second respondent had been delinquent and came to court with soiled hands and in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view, he should not have been granted a relief.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Bwanika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argued that the fact that the appellant had signed form A8 indicating the transfer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directorship and membership to his wife was a mere technicality and the appellant should not be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deprived of his remedies on a mere technicality.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appellant cited </w:t>
      </w:r>
      <w:r>
        <w:rPr>
          <w:rFonts w:ascii="Times New Roman" w:hAnsi="Times New Roman" w:cs="Times New Roman"/>
          <w:i/>
          <w:iCs/>
          <w:color w:val="000000"/>
        </w:rPr>
        <w:t xml:space="preserve">Charlesworth and Morse: Company Law </w:t>
      </w:r>
      <w:r>
        <w:rPr>
          <w:rFonts w:ascii="Times New Roman" w:hAnsi="Times New Roman" w:cs="Times New Roman"/>
          <w:color w:val="000000"/>
        </w:rPr>
        <w:t xml:space="preserve">(7ed), </w:t>
      </w:r>
      <w:r>
        <w:rPr>
          <w:rFonts w:ascii="Times New Roman" w:hAnsi="Times New Roman" w:cs="Times New Roman"/>
          <w:i/>
          <w:iCs/>
          <w:color w:val="000000"/>
        </w:rPr>
        <w:t>Re-National Savings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Bank Association </w:t>
      </w:r>
      <w:r>
        <w:rPr>
          <w:rFonts w:ascii="Times New Roman" w:hAnsi="Times New Roman" w:cs="Times New Roman"/>
          <w:color w:val="000000"/>
        </w:rPr>
        <w:t xml:space="preserve">(1866) LR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App 594, </w:t>
      </w:r>
      <w:r>
        <w:rPr>
          <w:rFonts w:ascii="Times New Roman" w:hAnsi="Times New Roman" w:cs="Times New Roman"/>
          <w:i/>
          <w:iCs/>
          <w:color w:val="000000"/>
        </w:rPr>
        <w:t>Re-London and Provincial Consolidated Cost Company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(1877)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Volume V 52, </w:t>
      </w:r>
      <w:r>
        <w:rPr>
          <w:rFonts w:ascii="Times New Roman" w:hAnsi="Times New Roman" w:cs="Times New Roman"/>
          <w:i/>
          <w:iCs/>
          <w:color w:val="000000"/>
        </w:rPr>
        <w:t xml:space="preserve">Colonial Bank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Hapworth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1887, Volume 36 Chapter 37 L, </w:t>
      </w:r>
      <w:r>
        <w:rPr>
          <w:rFonts w:ascii="Times New Roman" w:hAnsi="Times New Roman" w:cs="Times New Roman"/>
          <w:i/>
          <w:iCs/>
          <w:color w:val="000000"/>
        </w:rPr>
        <w:t>Hall’s Company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Secretarial Practice </w:t>
      </w:r>
      <w:r>
        <w:rPr>
          <w:rFonts w:ascii="Times New Roman" w:hAnsi="Times New Roman" w:cs="Times New Roman"/>
          <w:color w:val="000000"/>
        </w:rPr>
        <w:t>(6ed) and provisions on the Companies Act, as authorities in support of their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and arguments.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submissions on the grounds as presented and argued by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appellant. The thrust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was that the appellant ceased to be a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on the day he signed form A8 and revealed to all and sundry that he had transferred his shares to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wife. Counsel contended that the words used by the appellant in that transfer were clear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unambiguous and should be given their natural and technical meaning in company law matters. Counsel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appellant ceased to be a member of the company with effect from 12 January 1984,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he signified that he had transferred his shares to his wife.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further that in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law, the term member only refers to shareholders and in signing form A8, the appellant had said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he had ceased to be director/member of the company and on the same day his wife,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Balwinder</w:t>
      </w:r>
      <w:proofErr w:type="spellEnd"/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Kaur Sandhu, had been appointed a new director/member of the company.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Respondents’ counsel contended further that in informing the officials of the respondent company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at the Companies Registry, he intended that those officials and any other stakeholders should act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the information he provided. He further submitted that, in consequence, both respondents acted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managed the company in the belief that the appellant had quit the respondent company and was replaced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his wife who had stepped in his shoes and became both a director and member.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also a contention for the respondents, that the signed acknowledgement by the appellant of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surrender of his shares to his wife estopped him from denying that he had ceased to be a member.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on the basis of the appellant ceasing to be a member, the respondent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had gone ahead and created a new issue of shares and allotted the same to other people.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the appellant’s departure as director/member, the respondent company started dealing with 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wife as the new director/member and there is evidence that she was warned of the consequences if she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persistently continued to be absent from the respondent company’s Board meetings.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Finally, it was counsel’s contention that the appellant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 petition for the winding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 of a company of which he was neither a member nor a contributory. respondents’ counsel cited </w:t>
      </w:r>
      <w:r>
        <w:rPr>
          <w:rFonts w:ascii="Times New Roman" w:hAnsi="Times New Roman" w:cs="Times New Roman"/>
          <w:i/>
          <w:iCs/>
          <w:color w:val="000000"/>
        </w:rPr>
        <w:t>Henry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Kawalya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Semakadde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Comp </w:t>
      </w:r>
      <w:r>
        <w:rPr>
          <w:rFonts w:ascii="Times New Roman" w:hAnsi="Times New Roman" w:cs="Times New Roman"/>
          <w:color w:val="000000"/>
        </w:rPr>
        <w:t xml:space="preserve">Cause number 8 of 1990,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Bankali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Lombarak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Tanganyika Ltd</w:t>
      </w:r>
      <w:r w:rsidR="00FA18C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[1963] EA 304,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Mugenyi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Advocates v Attorney-General</w:t>
      </w:r>
      <w:r>
        <w:rPr>
          <w:rFonts w:ascii="Times New Roman" w:hAnsi="Times New Roman" w:cs="Times New Roman"/>
          <w:color w:val="000000"/>
        </w:rPr>
        <w:t>, Supreme Court civil number 43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1955 and </w:t>
      </w:r>
      <w:r>
        <w:rPr>
          <w:rFonts w:ascii="Times New Roman" w:hAnsi="Times New Roman" w:cs="Times New Roman"/>
          <w:i/>
          <w:iCs/>
          <w:color w:val="000000"/>
        </w:rPr>
        <w:t xml:space="preserve">Re Tal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Drws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State Company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Mackley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case) 1875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247, as authorities for 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noted earlier, on the 30 April 1984, the appellant, who together with the second respondent had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previously formed the respondent company, executed a document hereinafter called form A8 with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words: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“With effect from 12 January 1984,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Jaspal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Singh Sandhu ceased to be a director/member of the company.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 the same day/date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Balwinder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Kaur is appointed a new director/member of the company.”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lead judgment of the Court of Appeal, Kato JA (as he then was) said of the contents of that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document: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appellants are adamant that those words meant that the respondent did not only cease to be a director but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also a member of the first appellant. The respondent’s interpretation is that he only resigned from the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directorship of the company. I accept the interpretation given by the appellants’ counsel as the correct one. It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trite law that words which are not ambiguous must be given their ordinary and natural meaning. In this case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respondent was clear that he ceased being a director and member of the company. If he wanted to remain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member then why should the word member have been included in the document? The respondent does not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say anywhere in his affidavit that he never wrote that word. On the contrary, both the respondent and his wife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their affidavits dated 16 October 2000 and 2 March 2001 respectively, show clearly that the appellant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actually signed the document”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Then, after citing extracts from the affidavits of both the appellant and his wife and re-evaluating other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the learned Justice of Appeal concluded: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my considered opinion that as from 12 January 1984, the respondent ceased to be a member of the first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appellant and all his rights in that company were vested in his wife. I find that the respondent had no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locus</w:t>
      </w:r>
      <w:r w:rsidR="00FA18C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standi </w:t>
      </w:r>
      <w:r>
        <w:rPr>
          <w:rFonts w:ascii="Times New Roman" w:hAnsi="Times New Roman" w:cs="Times New Roman"/>
          <w:color w:val="000000"/>
          <w:sz w:val="20"/>
          <w:szCs w:val="20"/>
        </w:rPr>
        <w:t>in the affairs of the first appellant and as such he could not petition for its winding up nor could he call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the second appellant to account to him how he had been managing the business of the company. The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does not fall under any of the categories which may institute proceedings to wind up a company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under section 224 of the Companies Act.”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other two justices of appeal agreed with Kato JA</w:t>
      </w:r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learned Justices of Appeal cannot be faulted. In support of their decision, I find further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that the wife of the appellant acquired the shares of her husband, who was the original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subscriber at the initial stage of the company’s incorporation. The record shows that her husband, who 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this appeal, owned 49 percent of the shares and the first respondent owned the remaining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51 percent of the shares. Thereafter, the appellant transferred both his directorship and membership of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to his wife,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Balwinder</w:t>
      </w:r>
      <w:proofErr w:type="spellEnd"/>
      <w:r>
        <w:rPr>
          <w:rFonts w:ascii="Times New Roman" w:hAnsi="Times New Roman" w:cs="Times New Roman"/>
          <w:color w:val="000000"/>
        </w:rPr>
        <w:t xml:space="preserve"> Kaur Sandhu. There is no evidence that the appellant was ever contacted again by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after he transferred his shares. On the other hand, his wife was apparently contacted, from time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time, as a director by the company.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shows that the wife remains the second director and owner of the 49 percent of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shares in the first respondent, namely Noble Builders (U) Ltd. There was an attempt to </w:t>
      </w:r>
      <w:proofErr w:type="spellStart"/>
      <w:r>
        <w:rPr>
          <w:rFonts w:ascii="Times New Roman" w:hAnsi="Times New Roman" w:cs="Times New Roman"/>
          <w:color w:val="000000"/>
        </w:rPr>
        <w:t>reorganise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and shareholding of the company. The attempt never succeeded because it could not comply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either the provisions of the Companies Act or the regulations of Noble Builders (U) Ltd. Indeed,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itself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this dilemma when corresponding with the appellant’s wife. Having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single director could not effect changes they desired in the company, they wrote to the appellant’s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wife whom they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as the new director on 25 August 1988 and observed: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write to inform you that since you were appointed as director you have never attended any board meeting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company. Board meetings are held once every month. You are only two directors. A board meeting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take place without yourself; that you are rendering the company’s business ineffective. 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)”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follows therefore that the attempted allotment of new shares by the single remaining director or 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attempted </w:t>
      </w:r>
      <w:proofErr w:type="spellStart"/>
      <w:r>
        <w:rPr>
          <w:rFonts w:ascii="Times New Roman" w:hAnsi="Times New Roman" w:cs="Times New Roman"/>
          <w:color w:val="000000"/>
        </w:rPr>
        <w:t>reorganisation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Noble Builders (U) Ltd management failed. The inability of the company to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changes after the appellant had departed from its management is itself an acknowledgment of their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difficulties by the respondents when they pleaded with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Balwinder</w:t>
      </w:r>
      <w:proofErr w:type="spellEnd"/>
      <w:r>
        <w:rPr>
          <w:rFonts w:ascii="Times New Roman" w:hAnsi="Times New Roman" w:cs="Times New Roman"/>
          <w:color w:val="000000"/>
        </w:rPr>
        <w:t xml:space="preserve"> Kaur Sandhu, the new director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shareholder on the basis that without her attendance and participation in the running of the company,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would be unable to transact business.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consequence, I would dismiss grounds 1, 2 and 3 of this appeal and as I have already dismissed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8 for lack of merit and held that the other ground, namely ground 5, is irrelevant, I would dismiss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with costs to the respondents in this Court and in the courts below.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leaving this appeal, I am constrained to observe that it was inadvisable for the appellant’s wife,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Balwinder</w:t>
      </w:r>
      <w:proofErr w:type="spellEnd"/>
      <w:r>
        <w:rPr>
          <w:rFonts w:ascii="Times New Roman" w:hAnsi="Times New Roman" w:cs="Times New Roman"/>
          <w:color w:val="000000"/>
        </w:rPr>
        <w:t xml:space="preserve"> Kaur Singh, not to be joined as a party to the proceedings in this case. The fact that she may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not attended board meetings or fulfilled her responsibilities as a director, does not adversely affect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rights and obligations as a shareholder and owner of the 49 percent of the equities of Noble Builders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(U) Ltd. I agree with Kato JA, the learned Justice who wrote the lead judgment in the Court of Appeal,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is remarkable that the appellant’s wife has not chosen to pursue her rights. Of course, this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and all previous proceedings in this case do not in any way affect her rights as a shareholder in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Noble Builders (U) Limited.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I have had the benefit of reading in draft the judgment prepared by my learned brother,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 and I agree with him that this appeal should be dismissed with costs to both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here and in the two courts below.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the appellant and the second respondent were the initial subscribers to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 (the company).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memorandum of association and the Articles of association show that the two were the only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subscribers by the time the company was incorporated on 5 January 1984. The appellant stated clearly in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6 of his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petition that he relinquished his directorship and membership on 12 January 1984. According to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7 of the affidavit of second respondent, the appellant endorsed on a formal company form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“Notification of Change of Directors or Secretary or in their Particulars”.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words written manually in ink: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“With effect from 12 January 1984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Jaspal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Singh Sandhu ceased to be a director/member of the company.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 the same day/date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Balwinder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Kaur is appointed a new director/member of the company.”</w:t>
      </w:r>
      <w:r w:rsidR="00FA18C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said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Balwinder</w:t>
      </w:r>
      <w:proofErr w:type="spellEnd"/>
      <w:r>
        <w:rPr>
          <w:rFonts w:ascii="Times New Roman" w:hAnsi="Times New Roman" w:cs="Times New Roman"/>
          <w:color w:val="000000"/>
        </w:rPr>
        <w:t xml:space="preserve"> Kaur is, in fact, the wife of the appellant. The form is dated 30 April 1984 and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signed by the two subscribers. The second respondent signed the form apparently as the managing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the company while the appellant appears to have signed it as director of the company.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was filed in the Registry of Companies.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circumstances and contrary to the findings of the trial judge there is not the slightest doubt in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mind that the appellant ceased to be a director and member of the company on 12 January 1984. Or at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latest upon lodging the form in the Registry of Companies, the appellant ceased to be a director as well as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member of the company. Counsel for the appellant attempted to </w:t>
      </w:r>
      <w:proofErr w:type="spellStart"/>
      <w:r>
        <w:rPr>
          <w:rFonts w:ascii="Times New Roman" w:hAnsi="Times New Roman" w:cs="Times New Roman"/>
          <w:color w:val="000000"/>
        </w:rPr>
        <w:t>minimise</w:t>
      </w:r>
      <w:proofErr w:type="spellEnd"/>
      <w:r>
        <w:rPr>
          <w:rFonts w:ascii="Times New Roman" w:hAnsi="Times New Roman" w:cs="Times New Roman"/>
          <w:color w:val="000000"/>
        </w:rPr>
        <w:t xml:space="preserve"> the effect of the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endorsement, arguing that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Balwinder</w:t>
      </w:r>
      <w:proofErr w:type="spellEnd"/>
      <w:r>
        <w:rPr>
          <w:rFonts w:ascii="Times New Roman" w:hAnsi="Times New Roman" w:cs="Times New Roman"/>
          <w:color w:val="000000"/>
        </w:rPr>
        <w:t xml:space="preserve"> Kaur was not active in the company and so the appellant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remained a shareholder in the company, and therefore he can present to court a member’s winding up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appellant publicly relinquished his directorship and shareholding on 12 January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1984 or latest by 8 May 1984. Therefore, for him to come to court nearly twenty years later to seek, as a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company, to have the company wound up is nothing short of a deliberate attempt to abuse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process. I am satisfied that the learned trial Judge erred to hold that the appellant was a shareholder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 agree that the Court of Appeal acted properly when it rejected the evil efforts of the appellant to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the company wound up since he had ceased to be both a member and a director early in 1984.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dismiss this appeal with costs here and in the courts below.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 and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FA18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Bwanika</w:t>
      </w:r>
      <w:proofErr w:type="spellEnd"/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9A021E" w:rsidRDefault="009A021E" w:rsidP="009A02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</w:p>
    <w:p w:rsidR="00366D10" w:rsidRDefault="00366D10" w:rsidP="009A021E"/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1E"/>
    <w:rsid w:val="00366D10"/>
    <w:rsid w:val="009A021E"/>
    <w:rsid w:val="00F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8772-4A03-436B-9012-6A7CF2BA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3392</Words>
  <Characters>19340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2018-07-04T20:14:00Z</dcterms:created>
  <dcterms:modified xsi:type="dcterms:W3CDTF">2018-07-11T16:50:00Z</dcterms:modified>
</cp:coreProperties>
</file>