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AE" w:rsidRDefault="00EC70AE" w:rsidP="00313D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Sempa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National Insurance Corporation &amp; another</w:t>
      </w:r>
    </w:p>
    <w:p w:rsidR="00EC70AE" w:rsidRDefault="00EC70AE" w:rsidP="00313D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EC70AE" w:rsidRDefault="00EC70AE" w:rsidP="00313D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December 1973</w:t>
      </w:r>
    </w:p>
    <w:p w:rsidR="00EC70AE" w:rsidRDefault="00EC70AE" w:rsidP="00313D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107/1972 (69/74)</w:t>
      </w:r>
    </w:p>
    <w:p w:rsidR="00EC70AE" w:rsidRDefault="00EC70AE" w:rsidP="00313D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Kakooza Ag J</w:t>
      </w:r>
    </w:p>
    <w:p w:rsidR="00EC70AE" w:rsidRDefault="00EC70AE" w:rsidP="00313D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Limitation of Actions – Public duty – Driver employed by National Insurance Corporation –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Whether acting in execution of public duty – Civil Procedure and Limitation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Miscellaneous Provisions</w:t>
      </w:r>
      <w:r>
        <w:rPr>
          <w:rFonts w:ascii="Times New Roman" w:hAnsi="Times New Roman" w:cs="Times New Roman"/>
          <w:color w:val="000000"/>
        </w:rPr>
        <w:t>)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 xml:space="preserve">1969, </w:t>
      </w:r>
      <w:r>
        <w:rPr>
          <w:rFonts w:ascii="Times New Roman" w:hAnsi="Times New Roman" w:cs="Times New Roman"/>
          <w:i/>
          <w:iCs/>
          <w:color w:val="000000"/>
        </w:rPr>
        <w:t>s.</w:t>
      </w:r>
      <w:r>
        <w:rPr>
          <w:rFonts w:ascii="Times New Roman" w:hAnsi="Times New Roman" w:cs="Times New Roman"/>
          <w:color w:val="000000"/>
        </w:rPr>
        <w:t>3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).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13DAC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sued for damages for the death of his son in an accident on a Sunday in which a vehicle</w:t>
      </w:r>
      <w:r w:rsidR="00313D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owned by the first defendant and driven by the second defendant, its servant, was involved. The first</w:t>
      </w:r>
      <w:r w:rsidR="00313D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was a scheduled corporation and the action was filed more than a year after the accident.</w:t>
      </w:r>
      <w:r w:rsidR="00313D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for decision was whether the action against the second defendant was barred by the</w:t>
      </w:r>
      <w:r w:rsidR="00313D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the Civil Procedure and Limitation (miscellaneous Provisions) Act 1969.</w:t>
      </w:r>
      <w:r w:rsidR="00313D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defendant contended that he was employed by a scheduled corporation and was acting in</w:t>
      </w:r>
      <w:r w:rsidR="00313D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of a public duty.</w:t>
      </w:r>
      <w:r w:rsidR="00313DAC">
        <w:rPr>
          <w:rFonts w:ascii="Times New Roman" w:hAnsi="Times New Roman" w:cs="Times New Roman"/>
          <w:color w:val="000000"/>
        </w:rPr>
        <w:t xml:space="preserve"> </w:t>
      </w:r>
    </w:p>
    <w:p w:rsidR="00313DAC" w:rsidRDefault="00313DAC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an</w:t>
      </w:r>
      <w:proofErr w:type="gramEnd"/>
      <w:r>
        <w:rPr>
          <w:rFonts w:ascii="Times New Roman" w:hAnsi="Times New Roman" w:cs="Times New Roman"/>
          <w:color w:val="000000"/>
        </w:rPr>
        <w:t xml:space="preserve"> employee of the National Insurance is not a public officer;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an employee of the Corporation could be engaged in the execution of a public duty (</w:t>
      </w:r>
      <w:r>
        <w:rPr>
          <w:rFonts w:ascii="Times New Roman" w:hAnsi="Times New Roman" w:cs="Times New Roman"/>
          <w:i/>
          <w:iCs/>
          <w:color w:val="000000"/>
        </w:rPr>
        <w:t>Greenwood v.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Atherton </w:t>
      </w:r>
      <w:r>
        <w:rPr>
          <w:rFonts w:ascii="Times New Roman" w:hAnsi="Times New Roman" w:cs="Times New Roman"/>
          <w:color w:val="000000"/>
        </w:rPr>
        <w:t>(3) followed);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not</w:t>
      </w:r>
      <w:proofErr w:type="gramEnd"/>
      <w:r>
        <w:rPr>
          <w:rFonts w:ascii="Times New Roman" w:hAnsi="Times New Roman" w:cs="Times New Roman"/>
          <w:color w:val="000000"/>
        </w:rPr>
        <w:t xml:space="preserve"> all authorised acts are acts in the execution of a public duty;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object of the Corporation is to carry on insurance business;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(v) </w:t>
      </w:r>
      <w:proofErr w:type="gramStart"/>
      <w:r>
        <w:rPr>
          <w:rFonts w:ascii="Times New Roman" w:hAnsi="Times New Roman" w:cs="Times New Roman"/>
          <w:color w:val="000000"/>
        </w:rPr>
        <w:t>driving</w:t>
      </w:r>
      <w:proofErr w:type="gramEnd"/>
      <w:r>
        <w:rPr>
          <w:rFonts w:ascii="Times New Roman" w:hAnsi="Times New Roman" w:cs="Times New Roman"/>
          <w:color w:val="000000"/>
        </w:rPr>
        <w:t xml:space="preserve"> a motor vehicle can only be incidental to the business of the Corporation and not an act in</w:t>
      </w:r>
      <w:r w:rsidR="00313D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execution of a public duty.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accordingly.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Bradford Corporation v. Myers</w:t>
      </w:r>
      <w:r>
        <w:rPr>
          <w:rFonts w:ascii="Times New Roman" w:hAnsi="Times New Roman" w:cs="Times New Roman"/>
          <w:color w:val="000000"/>
        </w:rPr>
        <w:t>, [1916] 1 A.C. 242.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Daniels v. Vaux</w:t>
      </w:r>
      <w:r>
        <w:rPr>
          <w:rFonts w:ascii="Times New Roman" w:hAnsi="Times New Roman" w:cs="Times New Roman"/>
          <w:color w:val="000000"/>
        </w:rPr>
        <w:t>, [1938] 2 K.B. 203; [1938] 2 All E.R. 271.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Greenwood v. Atherton</w:t>
      </w:r>
      <w:r>
        <w:rPr>
          <w:rFonts w:ascii="Times New Roman" w:hAnsi="Times New Roman" w:cs="Times New Roman"/>
          <w:color w:val="000000"/>
        </w:rPr>
        <w:t>, [1939] 1 K.B. 388; [1938] 2 All E.R. 475.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 xml:space="preserve">Firestone Tire and Rubber Co. v. Singapore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Harbour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Board</w:t>
      </w:r>
      <w:r>
        <w:rPr>
          <w:rFonts w:ascii="Times New Roman" w:hAnsi="Times New Roman" w:cs="Times New Roman"/>
          <w:color w:val="000000"/>
        </w:rPr>
        <w:t>, [1952] A.C. 452; [1952] 2 All E.R.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219.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</w:rPr>
        <w:t>Reeves v. Deane-Freeman</w:t>
      </w:r>
      <w:r>
        <w:rPr>
          <w:rFonts w:ascii="Times New Roman" w:hAnsi="Times New Roman" w:cs="Times New Roman"/>
          <w:color w:val="000000"/>
        </w:rPr>
        <w:t>, [1952] 2 All E.R. 506.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(6) </w:t>
      </w:r>
      <w:r>
        <w:rPr>
          <w:rFonts w:ascii="Times New Roman" w:hAnsi="Times New Roman" w:cs="Times New Roman"/>
          <w:i/>
          <w:iCs/>
          <w:color w:val="000000"/>
        </w:rPr>
        <w:t>Pioneer Garage v. Barclays Bank</w:t>
      </w:r>
      <w:r>
        <w:rPr>
          <w:rFonts w:ascii="Times New Roman" w:hAnsi="Times New Roman" w:cs="Times New Roman"/>
          <w:color w:val="000000"/>
        </w:rPr>
        <w:t>, [1969] E.A. 447.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(7)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District Council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Printing Works</w:t>
      </w:r>
      <w:r>
        <w:rPr>
          <w:rFonts w:ascii="Times New Roman" w:hAnsi="Times New Roman" w:cs="Times New Roman"/>
          <w:color w:val="000000"/>
        </w:rPr>
        <w:t>, [1971] E.A. 193.</w:t>
      </w:r>
    </w:p>
    <w:p w:rsidR="00EC70AE" w:rsidRDefault="00EC70AE" w:rsidP="00EC7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(8) </w:t>
      </w:r>
      <w:r>
        <w:rPr>
          <w:rFonts w:ascii="Times New Roman" w:hAnsi="Times New Roman" w:cs="Times New Roman"/>
          <w:i/>
          <w:iCs/>
          <w:color w:val="000000"/>
        </w:rPr>
        <w:t>Mohamed v. Attorney-General</w:t>
      </w:r>
      <w:r>
        <w:rPr>
          <w:rFonts w:ascii="Times New Roman" w:hAnsi="Times New Roman" w:cs="Times New Roman"/>
          <w:color w:val="000000"/>
        </w:rPr>
        <w:t>, [1971] E.A. 241.</w:t>
      </w:r>
    </w:p>
    <w:p w:rsidR="006B48C8" w:rsidRDefault="00EC70AE" w:rsidP="00EC70AE">
      <w:bookmarkStart w:id="0" w:name="_GoBack"/>
      <w:bookmarkEnd w:id="0"/>
      <w:r>
        <w:rPr>
          <w:rFonts w:ascii="Times New Roman" w:hAnsi="Times New Roman" w:cs="Times New Roman"/>
          <w:color w:val="000000"/>
        </w:rPr>
        <w:t>[</w:t>
      </w:r>
      <w:r>
        <w:rPr>
          <w:rFonts w:ascii="Times New Roman" w:hAnsi="Times New Roman" w:cs="Times New Roman"/>
          <w:b/>
          <w:bCs/>
          <w:color w:val="000000"/>
        </w:rPr>
        <w:t xml:space="preserve">Editorial Note: </w:t>
      </w:r>
      <w:r>
        <w:rPr>
          <w:rFonts w:ascii="Times New Roman" w:hAnsi="Times New Roman" w:cs="Times New Roman"/>
          <w:color w:val="000000"/>
        </w:rPr>
        <w:t xml:space="preserve">The case of </w:t>
      </w:r>
      <w:r>
        <w:rPr>
          <w:rFonts w:ascii="Times New Roman" w:hAnsi="Times New Roman" w:cs="Times New Roman"/>
          <w:i/>
          <w:iCs/>
          <w:color w:val="000000"/>
        </w:rPr>
        <w:t>Reeves v. Deane-Freeman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AE"/>
    <w:rsid w:val="00313DAC"/>
    <w:rsid w:val="006B48C8"/>
    <w:rsid w:val="00EC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6228C-8F90-4B2B-9F28-A129BF83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2018-07-05T13:56:00Z</dcterms:created>
  <dcterms:modified xsi:type="dcterms:W3CDTF">2018-07-11T16:41:00Z</dcterms:modified>
</cp:coreProperties>
</file>