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57" w:rsidRDefault="00682557" w:rsidP="00837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Sempa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Insurance Corporation &amp; another</w:t>
      </w:r>
    </w:p>
    <w:p w:rsidR="00682557" w:rsidRDefault="00682557" w:rsidP="00837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682557" w:rsidRDefault="00682557" w:rsidP="00837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December 1973</w:t>
      </w:r>
    </w:p>
    <w:p w:rsidR="00682557" w:rsidRDefault="00682557" w:rsidP="00837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107/1972 (69/74)</w:t>
      </w:r>
    </w:p>
    <w:p w:rsidR="00682557" w:rsidRDefault="00682557" w:rsidP="00837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Kakooza Ag J</w:t>
      </w:r>
    </w:p>
    <w:p w:rsidR="00682557" w:rsidRDefault="00682557" w:rsidP="00837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82557" w:rsidRDefault="00682557" w:rsidP="00682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Public duty – Driver employed by National Insurance Corporation –</w:t>
      </w:r>
    </w:p>
    <w:p w:rsidR="00682557" w:rsidRDefault="00682557" w:rsidP="00682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Whether acting in execution of public duty – Civil Procedure and 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>)</w:t>
      </w:r>
    </w:p>
    <w:p w:rsidR="00682557" w:rsidRDefault="00682557" w:rsidP="00682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837781" w:rsidRDefault="00837781" w:rsidP="00837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82557" w:rsidRDefault="00682557" w:rsidP="00837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837781" w:rsidRDefault="00682557" w:rsidP="00682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Kakooza Ag J: </w:t>
      </w:r>
      <w:r>
        <w:rPr>
          <w:rFonts w:ascii="Times New Roman" w:hAnsi="Times New Roman" w:cs="Times New Roman"/>
          <w:color w:val="000000"/>
        </w:rPr>
        <w:t xml:space="preserve">The plaintiff, as “father” and “legal representative” of one deceased, Stephen </w:t>
      </w:r>
      <w:proofErr w:type="spellStart"/>
      <w:r>
        <w:rPr>
          <w:rFonts w:ascii="Times New Roman" w:hAnsi="Times New Roman" w:cs="Times New Roman"/>
          <w:color w:val="000000"/>
        </w:rPr>
        <w:t>Muwonge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action by the original plaint dated 6 January 1972, filed in the High Court on 5 February 1972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first defendant alone alleging negligence and claiming damages arising out of the death of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Stephen </w:t>
      </w:r>
      <w:proofErr w:type="spellStart"/>
      <w:r>
        <w:rPr>
          <w:rFonts w:ascii="Times New Roman" w:hAnsi="Times New Roman" w:cs="Times New Roman"/>
          <w:color w:val="000000"/>
        </w:rPr>
        <w:t>Muwonge</w:t>
      </w:r>
      <w:proofErr w:type="spellEnd"/>
      <w:r>
        <w:rPr>
          <w:rFonts w:ascii="Times New Roman" w:hAnsi="Times New Roman" w:cs="Times New Roman"/>
          <w:color w:val="000000"/>
        </w:rPr>
        <w:t xml:space="preserve"> in an accident on 10 January 1971 on </w:t>
      </w:r>
      <w:proofErr w:type="spellStart"/>
      <w:r>
        <w:rPr>
          <w:rFonts w:ascii="Times New Roman" w:hAnsi="Times New Roman" w:cs="Times New Roman"/>
          <w:color w:val="000000"/>
        </w:rPr>
        <w:t>Iganga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Tororo</w:t>
      </w:r>
      <w:proofErr w:type="spellEnd"/>
      <w:r>
        <w:rPr>
          <w:rFonts w:ascii="Times New Roman" w:hAnsi="Times New Roman" w:cs="Times New Roman"/>
          <w:color w:val="000000"/>
        </w:rPr>
        <w:t xml:space="preserve"> Road involving a motor vehicle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first defendant and a motor scooter of the deceased.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dated 12 March 1972 and filed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13 March 1972, the first defendant pleaded that,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defendant will aver that this suit is bad in law and misconceived in as much as no statutory notice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intention to sue was given to the defendant in accordance with section 1 of the Civil Procedure and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Limitation (Miscellaneous Provisions) Act, 1969 and prays that the suit should be dismissed with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first defendant applied by Summons, under O. 6, r. 18, of the Civil Procedure Rules,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seeking leave to amend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by pleading that the suit was time-barred by the provisions of s. 2 (1)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Civil Procedure and Limitation (Miscellaneous Provisions) Act. The plaintiff also applied for leave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add one </w:t>
      </w:r>
      <w:proofErr w:type="spellStart"/>
      <w:r>
        <w:rPr>
          <w:rFonts w:ascii="Times New Roman" w:hAnsi="Times New Roman" w:cs="Times New Roman"/>
          <w:color w:val="000000"/>
        </w:rPr>
        <w:t>Samwel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Wenga</w:t>
      </w:r>
      <w:proofErr w:type="spellEnd"/>
      <w:r>
        <w:rPr>
          <w:rFonts w:ascii="Times New Roman" w:hAnsi="Times New Roman" w:cs="Times New Roman"/>
          <w:color w:val="000000"/>
        </w:rPr>
        <w:t xml:space="preserve"> as the second defendant. Both applications were granted.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amended plaint was filed and an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filed pleading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Alternatively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1st Defendant shall contend that the suit is time-barred by S. 2 of the Civil Procedure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Limitation (Miscellaneous Provisions) Act 1969 and the suit should be dismissed with costs.”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for both defendants made a preliminary objection, pursuing the pleading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suit was bad and time-barred against both defendants. The undisputed facts were that the cause of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arose on 10 January 1971 and the suit was filed on 5 February 1972, more than a year later,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within which the suit should have been brought against both defendants. He referred to the Civil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and Limitation (Miscellaneous Provisions) Act, 1969, s. 2 (1)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under which, “No action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founded on tort shall be brought against,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 scheduled corporation,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the expiration of twelve months from the date on which the cause of action arose.”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is a scheduled corporation. This section therefore barred this action against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 of the same Act, he submitted, barred the action against the second defendant because the suit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arose out of an act done by the second defendant in pursuance of authority or public duty of the first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and the action cannot lie unless instituted within six months. The suit against the second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commenced in November 1972 when the plaint was amended; till then he was not a party. But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November 1972, the time limit was already passed.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referred to paragraph 5 of the amended plaint which says that the act of the second defendant was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on the orders of the first defendant. Mr.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therefore s. 3 applied and the suit against the second defendant was thus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unmaintainable.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Musaala</w:t>
      </w:r>
      <w:proofErr w:type="spellEnd"/>
      <w:r>
        <w:rPr>
          <w:rFonts w:ascii="Times New Roman" w:hAnsi="Times New Roman" w:cs="Times New Roman"/>
          <w:color w:val="000000"/>
        </w:rPr>
        <w:t>, for the plaintiff, admitted that the action against the first defendant was not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maintainable. With regard to the second defendant, he said, he was liable and not affected by the Act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because in actions for negligence, vicarious negligence does not mean that the servant is not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liable personally. He cited </w:t>
      </w:r>
      <w:r>
        <w:rPr>
          <w:rFonts w:ascii="Times New Roman" w:hAnsi="Times New Roman" w:cs="Times New Roman"/>
          <w:i/>
          <w:iCs/>
          <w:color w:val="000000"/>
        </w:rPr>
        <w:t>Daniels v. Vaux</w:t>
      </w:r>
      <w:r>
        <w:rPr>
          <w:rFonts w:ascii="Times New Roman" w:hAnsi="Times New Roman" w:cs="Times New Roman"/>
          <w:color w:val="000000"/>
        </w:rPr>
        <w:t>, [1938] 2 All E.R. 271.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added that in the prayer, the defendants were sued jointly and severally. He referred to O. 1,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r. 7, of the Civil Procedure Rules. On being asked by me how he specifically refuted the application of s.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of the Civil Procedure and Limitation (Miscellaneous Provisions) Act 1969 to the second defendant as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by counsel for the defendants, Mr. </w:t>
      </w:r>
      <w:proofErr w:type="spellStart"/>
      <w:r>
        <w:rPr>
          <w:rFonts w:ascii="Times New Roman" w:hAnsi="Times New Roman" w:cs="Times New Roman"/>
          <w:color w:val="000000"/>
        </w:rPr>
        <w:t>Musaala</w:t>
      </w:r>
      <w:proofErr w:type="spellEnd"/>
      <w:r>
        <w:rPr>
          <w:rFonts w:ascii="Times New Roman" w:hAnsi="Times New Roman" w:cs="Times New Roman"/>
          <w:color w:val="000000"/>
        </w:rPr>
        <w:t xml:space="preserve"> replied that he would apply for amendment of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in paragraph five so as to make the second defendant solely and personally liable. Finally, counsel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s. 3 did not apply to joint </w:t>
      </w:r>
      <w:proofErr w:type="spellStart"/>
      <w:r>
        <w:rPr>
          <w:rFonts w:ascii="Times New Roman" w:hAnsi="Times New Roman" w:cs="Times New Roman"/>
          <w:color w:val="000000"/>
        </w:rPr>
        <w:t>tortfeasors</w:t>
      </w:r>
      <w:proofErr w:type="spellEnd"/>
      <w:r>
        <w:rPr>
          <w:rFonts w:ascii="Times New Roman" w:hAnsi="Times New Roman" w:cs="Times New Roman"/>
          <w:color w:val="000000"/>
        </w:rPr>
        <w:t xml:space="preserve">. He cited </w:t>
      </w:r>
      <w:r>
        <w:rPr>
          <w:rFonts w:ascii="Times New Roman" w:hAnsi="Times New Roman" w:cs="Times New Roman"/>
          <w:i/>
          <w:iCs/>
          <w:color w:val="000000"/>
        </w:rPr>
        <w:t>Pioneer Garage v. Barclays Bank</w:t>
      </w:r>
      <w:r>
        <w:rPr>
          <w:rFonts w:ascii="Times New Roman" w:hAnsi="Times New Roman" w:cs="Times New Roman"/>
          <w:color w:val="000000"/>
        </w:rPr>
        <w:t>, [1969]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E.A. 447.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reply, Mr.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as counsel for the plaintiff had conceded that the first defendant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liable, he requested the action against the first defendant to be dismissed with costs against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plaintiff. Regarding the second defendant, he said,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Daniels v. Vaux </w:t>
      </w:r>
      <w:r>
        <w:rPr>
          <w:rFonts w:ascii="Times New Roman" w:hAnsi="Times New Roman" w:cs="Times New Roman"/>
          <w:color w:val="000000"/>
        </w:rPr>
        <w:t>was irrelevant to this suit;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merely decided who is or is not an agent. He submitted that it would not be possible, as counsel for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suggested, to amend the plaint under O. 1, r. 7. But assuming it were possible, this would lead to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new action altogether against the second defendant alone and not based on the facts as known to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and therefore misleading the Court.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would still be that the defendant enjoyed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under s.3.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further submitted that the law of joint </w:t>
      </w:r>
      <w:proofErr w:type="spellStart"/>
      <w:r>
        <w:rPr>
          <w:rFonts w:ascii="Times New Roman" w:hAnsi="Times New Roman" w:cs="Times New Roman"/>
          <w:color w:val="000000"/>
        </w:rPr>
        <w:t>tortfeasors</w:t>
      </w:r>
      <w:proofErr w:type="spellEnd"/>
      <w:r>
        <w:rPr>
          <w:rFonts w:ascii="Times New Roman" w:hAnsi="Times New Roman" w:cs="Times New Roman"/>
          <w:color w:val="000000"/>
        </w:rPr>
        <w:t xml:space="preserve"> has been altered by s.3. This section had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immunity to a person, who, acting in pursuance or authority or, as here, on orders, could be sued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 suit was brought within six months next after the act complained of. The interpretation of this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section, he said, covered the present situation. Counsel directed my attention to the marginal note on s. 3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section covers “public officers”. He submitted that the action against the second defendant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also be dismissed with costs of this application.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was conceded by counsel for plaintiff that the action against the first defendant was time-barred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Civil Procedure and Limitation (Miscellaneous Provisions) Act 1969, s. 2, I ruled, on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of counsel for the defendants that the action be dismissed with costs, against the plaintiff. I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reserved my ruling regarding the second defendant. I now proceed to deal with this defendant.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first instance, it seems to me, the protection accorded by the section considers both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relationship between the individual doing the act complained of on the one hand and the Government 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corporate body concerned on the other and also the nature of the act done and complained of. Thus, for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example, if the driver in this case was not an employee or servant of the first defendant, the issue of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under this section would not arise. Similarly, if the act done and complained of by the plaintiff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in pursuance or execution of orders of the first defendant as the plaint says in paragraph five and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counsel for the defendant argues in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section would not be brought into argument.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basis, the issues I have to decide appear to be: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First, was the defendant in the category of persons covered by the section?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was the act being done by the second defendant “in pursuance 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or intended execution of . . . any public duty or authority”? In other words, did the protection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accorded by the section cover this act complained of?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first issue, as counsel for the defendant directed my attention, I have to examine the issue of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whether, the defendant was or is a “public officer”, who, as the marginal note would seem to imply,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be protected under the section in question.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and Limitation (Miscellaneous Provisions) Act 1969 itself does not define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“public officer”. We have, therefore to turn to other statutes for the definition. The Interpretation Act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(Cap. 16), s. 3, defines, “public officer”, “public officer”, and “public service” as having “the same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as in the Constitution”. The Public Service Act 1969, s. 29, defines, “public officer” as having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meaning ascribed to it in clause (1) of article 130 of the Constitution, but does not include teachers”;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“public service” as having “the meaning ascribed to it in clause (1) of article 130 of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Constitution.” The Constitution itself, Art. 130 (1) defines, “public officer” as “a person holding 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acting in any public office”; “public officer” as “an office in the public service”; and “public service”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“means, subject to the provisions of clauses (2) and (3) of this article, service in any civil capacity of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of Uganda, any District Administration or Urban Authority”.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Clearly, then, a servant or employee of “a scheduled corporation” in the Civil Procedure and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Limitation (Miscellaneous Provisions) Act 1969, is not a “public officer” and,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>
        <w:rPr>
          <w:rFonts w:ascii="Times New Roman" w:hAnsi="Times New Roman" w:cs="Times New Roman"/>
          <w:color w:val="000000"/>
        </w:rPr>
        <w:t>, he would not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 the category of persons protected by s. 3 of that Act. But to determine this category, it is not safe to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 by the marginal note alone; the relevant sections and, if necessary, the whole Act, have to be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considered. Now s. 3 provides:</w:t>
      </w:r>
      <w:r w:rsidR="00837781">
        <w:rPr>
          <w:rFonts w:ascii="Times New Roman" w:hAnsi="Times New Roman" w:cs="Times New Roman"/>
          <w:color w:val="000000"/>
        </w:rPr>
        <w:t xml:space="preserve"> </w:t>
      </w:r>
    </w:p>
    <w:p w:rsidR="00682557" w:rsidRDefault="00682557" w:rsidP="00682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“3. Where, after the commencement of this Act, any action, prosecution, or other proceeding is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commenced against any person for any act done in pursuance or execution or intended execution of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act or other written law, or of any public duty or authority, or in respect of any alleged neglect or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default in the execution of any such Act or other written law, duty or authority, the action, prosecution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proceeding shall not lie or be instituted unless it is instituted within six months next after the act,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neglect or default complained of; or in the case of a continuance of injury or damage, within three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months next after the ceasing thereof.”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will be noted that the section does not use the phrase “public service” but “public duty”. Similarly,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 title of the Act uses “public duties” when it says “An Act to provide . . . for the protection against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of persons acting in the execution of public duties . . .” S.1 of the Act which requires particular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to be given and s.2 (1) which prevents action to be brought in tort after the expiration of twelve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from the date on which the cause of action arose, list “a scheduled corporation” for this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view, therefore, that the intention of the legislature must have been, in enacting s.3, to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 the protection afforded therein to servants or employees of “a scheduled corporation” such as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in the present suit, as well although such servants or employees are not “public officers”. For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reason, the marginal note “Actions against public officers”, is misleading. But this does not mean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“public service” and “public duty” are, in this context, synonymous; the former is for example, wider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the latter in its extent.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view that the section applies not only where “public service” but also where “public duty”, as that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rendered by statutory bodies like the first defendant in the present suit, is concerned, finds support in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r>
        <w:rPr>
          <w:rFonts w:ascii="Times New Roman" w:hAnsi="Times New Roman" w:cs="Times New Roman"/>
          <w:i/>
          <w:iCs/>
          <w:color w:val="000000"/>
        </w:rPr>
        <w:t>Greenwood v. Atherton</w:t>
      </w:r>
      <w:r>
        <w:rPr>
          <w:rFonts w:ascii="Times New Roman" w:hAnsi="Times New Roman" w:cs="Times New Roman"/>
          <w:color w:val="000000"/>
        </w:rPr>
        <w:t>, [1938] 2 All E.R. 475. Here, the plaintiff, an infant, was injured at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school during an authorised recreation period. More than six months after the accident, a writ was issued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defendants respectively the </w:t>
      </w:r>
      <w:proofErr w:type="spellStart"/>
      <w:r>
        <w:rPr>
          <w:rFonts w:ascii="Times New Roman" w:hAnsi="Times New Roman" w:cs="Times New Roman"/>
          <w:color w:val="000000"/>
        </w:rPr>
        <w:t>headteacher</w:t>
      </w:r>
      <w:proofErr w:type="spellEnd"/>
      <w:r>
        <w:rPr>
          <w:rFonts w:ascii="Times New Roman" w:hAnsi="Times New Roman" w:cs="Times New Roman"/>
          <w:color w:val="000000"/>
        </w:rPr>
        <w:t xml:space="preserve"> and the managers of the school claiming damages for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breach of duty to supervise the children well. The defendants pleaded the Public Authorities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Act 1893, whose relevant section corresponded with our s. 3. The plaintiff contended that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to supervise was not a public duty, but was owed only to a particular class of children. It was held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managers were a statutory body acting in the execution of the Education Acts; (ii) the duty of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supervision was a public duty protected by the Public Authorities Protection Act 1893. The action was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barred.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pointed out above, s. 3 does not use “public service” but “public duty”. The public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Authorities Protection Act 1893 and </w:t>
      </w:r>
      <w:proofErr w:type="spellStart"/>
      <w:r>
        <w:rPr>
          <w:rFonts w:ascii="Times New Roman" w:hAnsi="Times New Roman" w:cs="Times New Roman"/>
          <w:color w:val="000000"/>
        </w:rPr>
        <w:t>our s</w:t>
      </w:r>
      <w:proofErr w:type="spellEnd"/>
      <w:r>
        <w:rPr>
          <w:rFonts w:ascii="Times New Roman" w:hAnsi="Times New Roman" w:cs="Times New Roman"/>
          <w:color w:val="000000"/>
        </w:rPr>
        <w:t xml:space="preserve">. 3 have the same purpose. As the </w:t>
      </w:r>
      <w:r>
        <w:rPr>
          <w:rFonts w:ascii="Times New Roman" w:hAnsi="Times New Roman" w:cs="Times New Roman"/>
          <w:i/>
          <w:iCs/>
          <w:color w:val="000000"/>
        </w:rPr>
        <w:t xml:space="preserve">Greenwood </w:t>
      </w:r>
      <w:r>
        <w:rPr>
          <w:rFonts w:ascii="Times New Roman" w:hAnsi="Times New Roman" w:cs="Times New Roman"/>
          <w:color w:val="000000"/>
        </w:rPr>
        <w:t>case indicates,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is also given to “public duty”.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first issue, I rule, therefore, that the defendant was or is in the category of persons protected by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s.3.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in order to enjoy that protection in relation to a particular act the doer of that act must have done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act, as the section says, “in pursuance or execution or intended execution of . . . any public duty 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authority”.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come now to the second issue of whether the act complained of by the plaintiff was being done “in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pursuance or execution of . . . any public duty or authority”.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only relevant East African case I have been able to find is </w:t>
      </w:r>
      <w:r>
        <w:rPr>
          <w:rFonts w:ascii="Times New Roman" w:hAnsi="Times New Roman" w:cs="Times New Roman"/>
          <w:i/>
          <w:iCs/>
          <w:color w:val="000000"/>
        </w:rPr>
        <w:t>Mohamed v. Attorney-General</w:t>
      </w:r>
      <w:r>
        <w:rPr>
          <w:rFonts w:ascii="Times New Roman" w:hAnsi="Times New Roman" w:cs="Times New Roman"/>
          <w:color w:val="000000"/>
        </w:rPr>
        <w:t>, [1971]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E.A. 241.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preliminary issue in the instant case also arose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District Council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Printing</w:t>
      </w:r>
      <w:r w:rsidR="008377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Works</w:t>
      </w:r>
      <w:r>
        <w:rPr>
          <w:rFonts w:ascii="Times New Roman" w:hAnsi="Times New Roman" w:cs="Times New Roman"/>
          <w:color w:val="000000"/>
        </w:rPr>
        <w:t>, [1971] E.A. 193. The former (a Kenya case) is, however, more to the point here. In that case,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was a government driver and he was instructed to drive a district officer who was in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of transport in the district on official district duty to inspect a damaged government vehicle and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buy spare parts. Before their destination, the accident, the cause of action, occurred. The plaint was not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until one year and two months afterwards. The defendants pleaded that the action was time-barred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Public Officers Protection Act (Cap. 186) and there was also the issue of whether the second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was driving in the public interest. S.2 (1) of this Act is similar to </w:t>
      </w:r>
      <w:proofErr w:type="spellStart"/>
      <w:r>
        <w:rPr>
          <w:rFonts w:ascii="Times New Roman" w:hAnsi="Times New Roman" w:cs="Times New Roman"/>
          <w:color w:val="000000"/>
        </w:rPr>
        <w:t>our s</w:t>
      </w:r>
      <w:proofErr w:type="spellEnd"/>
      <w:r>
        <w:rPr>
          <w:rFonts w:ascii="Times New Roman" w:hAnsi="Times New Roman" w:cs="Times New Roman"/>
          <w:color w:val="000000"/>
        </w:rPr>
        <w:t>. 3.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held that the driver was, as a public officer, driving in public interest and the Act applied.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found much assistance from this case, as, being the first case on this issue in East Africa, it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dealt quite satisfactorily with the case law on this same issue in England where the Public Authorities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Act 1895, s.1, afforded the same protection as the Kenya one and our Civil Procedure and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(Miscellaneous Provisions) Act 1969, s.3, now do.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Mohamed </w:t>
      </w:r>
      <w:r>
        <w:rPr>
          <w:rFonts w:ascii="Times New Roman" w:hAnsi="Times New Roman" w:cs="Times New Roman"/>
          <w:color w:val="000000"/>
        </w:rPr>
        <w:t>case, the trial judge dealt with a number of English cases but more particularly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r>
        <w:rPr>
          <w:rFonts w:ascii="Times New Roman" w:hAnsi="Times New Roman" w:cs="Times New Roman"/>
          <w:i/>
          <w:iCs/>
          <w:color w:val="000000"/>
        </w:rPr>
        <w:t>Bradford Corporation v. Myers</w:t>
      </w:r>
      <w:r>
        <w:rPr>
          <w:rFonts w:ascii="Times New Roman" w:hAnsi="Times New Roman" w:cs="Times New Roman"/>
          <w:color w:val="000000"/>
        </w:rPr>
        <w:t>, [1916] 1 A.C. 242. Without going into the facts of this case, I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give a few extracts from that case which are of direct relevancy to the present suit. At p. 247, Lord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Buckmaster</w:t>
      </w:r>
      <w:proofErr w:type="spellEnd"/>
      <w:r>
        <w:rPr>
          <w:rFonts w:ascii="Times New Roman" w:hAnsi="Times New Roman" w:cs="Times New Roman"/>
          <w:color w:val="000000"/>
        </w:rPr>
        <w:t>, L.C. says in his judgment: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it is not because the act out of which an action arises is within their power that a public authority enjoy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benefit of the statute. It is because the act is one which is either an act in the direct execution of a statute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in the discharge of a public duty, or the exercise of a public authority. . . It (the statute) assumes that there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duties and authorities which are not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public, and that in the exercise or discharge of such duties or authorities this protection does not apply.”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at p. 248, he says: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act complained of arose because one of the servants of the appellants, acting in the course of an errand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which they had power to send him, but on which they were not bound in the execution of any act or in the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discharge of any public duty or authority to send him, in breach of his common law duty to his fellow citizens,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caused damage by his personal negligence. In my opinion, an action for such negligence is not within the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class of action contemplated by the statute.”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Lord Shaw, at p. 262 says: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not enough that the neglect occurs in the doing of a thing which is authorised by statute, but the thing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done must be something in the execution of a public duty or authority, and it is only neglect in the execution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any such duty or authority that is covered by the statute. This restriction appears to me to be vital. The act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seems to say: there are many things which a public authority, clothed, say, with statutory power, may do,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the limitation will not cover; but when the act or neglect had reference to the execution of their public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duty or authority – something founded truly on their statutory powers or their public position – to that, and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only, will the limitation apply.”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light of </w:t>
      </w:r>
      <w:r>
        <w:rPr>
          <w:rFonts w:ascii="Times New Roman" w:hAnsi="Times New Roman" w:cs="Times New Roman"/>
          <w:i/>
          <w:iCs/>
          <w:color w:val="000000"/>
        </w:rPr>
        <w:t xml:space="preserve">Mohamed v. Attorney-General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Bradford Corporation v. Myers</w:t>
      </w:r>
      <w:r>
        <w:rPr>
          <w:rFonts w:ascii="Times New Roman" w:hAnsi="Times New Roman" w:cs="Times New Roman"/>
          <w:color w:val="000000"/>
        </w:rPr>
        <w:t>, the criterion on which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decision in a particular case can be reached as to whether </w:t>
      </w:r>
      <w:proofErr w:type="spellStart"/>
      <w:r>
        <w:rPr>
          <w:rFonts w:ascii="Times New Roman" w:hAnsi="Times New Roman" w:cs="Times New Roman"/>
          <w:color w:val="000000"/>
        </w:rPr>
        <w:t>our s</w:t>
      </w:r>
      <w:proofErr w:type="spellEnd"/>
      <w:r>
        <w:rPr>
          <w:rFonts w:ascii="Times New Roman" w:hAnsi="Times New Roman" w:cs="Times New Roman"/>
          <w:color w:val="000000"/>
        </w:rPr>
        <w:t>. 3 applies is not simply because the act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 was authorised and it was done by a public officer or a person with a public duty, as here,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basically because that act was done in pursuance or execution or intended execution of a public duty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authority.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the element of authority is to be found in the plaint itself – paragraph five, from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phrase, “. . . when under the orders of the 1st defendant and during the course of his employment . . .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the servant and/or agent and/or authorised driver of the 1st defendant . . .” This is not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by either party, its admission was indeed the basis of action by the plaintiff against the first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and is now the basis for the objection by counsel for the defendants against this action by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against the second defendant. Regarding the second element, I have already ruled that the second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is in the class of persons, although not a public officer, who are protected under s. 3. And if it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of any significance, it may be mentioned that, as in the </w:t>
      </w:r>
      <w:r>
        <w:rPr>
          <w:rFonts w:ascii="Times New Roman" w:hAnsi="Times New Roman" w:cs="Times New Roman"/>
          <w:i/>
          <w:iCs/>
          <w:color w:val="000000"/>
        </w:rPr>
        <w:t xml:space="preserve">Mohamed </w:t>
      </w:r>
      <w:r>
        <w:rPr>
          <w:rFonts w:ascii="Times New Roman" w:hAnsi="Times New Roman" w:cs="Times New Roman"/>
          <w:color w:val="000000"/>
        </w:rPr>
        <w:t>case, the vehicle being driven at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of the accident and involved in the accident, belonged to the first defendant.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far as the third element is concerned, in the absence of evidence as to what was the purpose of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journey when the accident occurred, it seems to me, guidance may be had from the statutory objects of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defendant. The National Insurance Corporation Act (Cap. 322), s.4 (which section has now been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repealed by Decree 19 of 1971 but was still in force at the time of the accident in this suit) provided that: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“4. The objects for which the Corporation is established shall be–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engage in all manner of insurance business in the same way as any insurer;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engage in such other insurance business as the Minister may direct; and,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all such things as are incidental or conducive to the attainment of the above objects or any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them.”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these objects, it does not appear to me that driving was a direct execution or discharge of </w:t>
      </w:r>
      <w:proofErr w:type="gramStart"/>
      <w:r>
        <w:rPr>
          <w:rFonts w:ascii="Times New Roman" w:hAnsi="Times New Roman" w:cs="Times New Roman"/>
          <w:color w:val="000000"/>
        </w:rPr>
        <w:t>a or</w:t>
      </w:r>
      <w:proofErr w:type="gramEnd"/>
      <w:r>
        <w:rPr>
          <w:rFonts w:ascii="Times New Roman" w:hAnsi="Times New Roman" w:cs="Times New Roman"/>
          <w:color w:val="000000"/>
        </w:rPr>
        <w:t xml:space="preserve">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duty or duties of the first defendant. On the contrary, it would be only incidental in the execution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discharge of the public duty.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saying this, I should not be taken to imply that the ordering of the driving was unlawful. Lawful or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unlawful is not the question here now. But I need only refer to the judgment of Lord Tucker in </w:t>
      </w:r>
      <w:r>
        <w:rPr>
          <w:rFonts w:ascii="Times New Roman" w:hAnsi="Times New Roman" w:cs="Times New Roman"/>
          <w:i/>
          <w:iCs/>
          <w:color w:val="000000"/>
        </w:rPr>
        <w:t>Firestone</w:t>
      </w:r>
      <w:r w:rsidR="008377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Tire and Rubber Co. v. Singapore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Board</w:t>
      </w:r>
      <w:r>
        <w:rPr>
          <w:rFonts w:ascii="Times New Roman" w:hAnsi="Times New Roman" w:cs="Times New Roman"/>
          <w:color w:val="000000"/>
        </w:rPr>
        <w:t xml:space="preserve">, [1952] A.C. 452, also referred to in the </w:t>
      </w:r>
      <w:r>
        <w:rPr>
          <w:rFonts w:ascii="Times New Roman" w:hAnsi="Times New Roman" w:cs="Times New Roman"/>
          <w:i/>
          <w:iCs/>
          <w:color w:val="000000"/>
        </w:rPr>
        <w:t>Mohamed</w:t>
      </w:r>
      <w:r w:rsidR="008377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at p. 222: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protection of the Ordinance (Public Authorities Protection Ordinance) does not cover all the lawful and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authorised acts of a public authority. Some acts are excluded.”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Reeves v. Deane-Freeman</w:t>
      </w:r>
      <w:r>
        <w:rPr>
          <w:rFonts w:ascii="Times New Roman" w:hAnsi="Times New Roman" w:cs="Times New Roman"/>
          <w:color w:val="000000"/>
        </w:rPr>
        <w:t>, [1952] 2 All E.R. 506, Lord Goddard, C.J. at p. 508 says,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.I required an admission, not only that the defendant was on duty, but also as to the nature of the duty, for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can conceive that if, let us say, the commanding officer of a battalion or depot had to attend some social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function, such as a regimental sports meeting or a special church service, for which it might be proper for him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use an army car, it might be that the driver would not be acting in pursuance of a public duty and if an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accident took place on the journey, he might not be protected by the section.”</w:t>
      </w:r>
      <w:r w:rsidR="008377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objects of the first defendant being unspecific as they are on driving as a direct execution of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duty of the first defendant, and taking judicial notice of the fact that 10 January 1971, when the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occurred, was a Sunday, it seems to me that the protection of the section does not apply here. I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rule, on the second issue, that the action against the second defendant is maintainable.</w:t>
      </w:r>
      <w:r w:rsidR="008377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  <w:r w:rsidR="008377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plaintiff:</w:t>
      </w:r>
    </w:p>
    <w:p w:rsidR="00682557" w:rsidRDefault="00682557" w:rsidP="00682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Musaala</w:t>
      </w:r>
      <w:proofErr w:type="spellEnd"/>
    </w:p>
    <w:p w:rsidR="006B48C8" w:rsidRDefault="00682557" w:rsidP="00682557">
      <w:r>
        <w:rPr>
          <w:rFonts w:ascii="Times New Roman" w:hAnsi="Times New Roman" w:cs="Times New Roman"/>
          <w:color w:val="000000"/>
        </w:rPr>
        <w:t>For the defendants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57"/>
    <w:rsid w:val="00682557"/>
    <w:rsid w:val="006B48C8"/>
    <w:rsid w:val="0083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DA461-1D4B-44DF-B77D-EAB73BA2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2018-07-05T13:57:00Z</dcterms:created>
  <dcterms:modified xsi:type="dcterms:W3CDTF">2018-07-11T16:39:00Z</dcterms:modified>
</cp:coreProperties>
</file>