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C3" w:rsidRDefault="004A73C3" w:rsidP="00CD4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Serugo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Kampala City Council</w:t>
      </w:r>
    </w:p>
    <w:p w:rsidR="004A73C3" w:rsidRDefault="004A73C3" w:rsidP="00CD4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4A73C3" w:rsidRDefault="004A73C3" w:rsidP="00CD4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April 1998</w:t>
      </w:r>
    </w:p>
    <w:p w:rsidR="004A73C3" w:rsidRDefault="004A73C3" w:rsidP="00CD4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14/97</w:t>
      </w:r>
    </w:p>
    <w:p w:rsidR="004A73C3" w:rsidRDefault="004A73C3" w:rsidP="00CD4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Dcj</w:t>
      </w:r>
      <w:proofErr w:type="spellEnd"/>
      <w:r>
        <w:rPr>
          <w:rFonts w:ascii="Times New Roman" w:hAnsi="Times New Roman" w:cs="Times New Roman"/>
          <w:color w:val="000000"/>
        </w:rPr>
        <w:t xml:space="preserve">, Kato,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A73C3" w:rsidRDefault="004A73C3" w:rsidP="00CD4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color w:val="000000"/>
        </w:rPr>
        <w:t>Karugaba</w:t>
      </w:r>
      <w:proofErr w:type="spellEnd"/>
    </w:p>
    <w:p w:rsidR="004A73C3" w:rsidRDefault="004A73C3" w:rsidP="00CD4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Jurisdiction of the Court of Appeal – Interpretation – Limitation period –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an issue of constitutional interpretation arose – Whether the petition had been filed in time –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Articles 50 and 137 – Constitution – Rule 4(1) – Fundamental Rights and Freedoms (Enforcement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Procedure) Rules – Legal Notice 4, 1996.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Constitutional petition – Cause of action – Petitioner convicted of a non-existent offence –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Liability of government for acts of judicial officers – Parties – Whether the petitioner’s constitutional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rights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had been violated – Whether there was a cause of action against Respondents – Article 128(4) –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– Section 4(5) – Government Proceedings Act (Chapter 69) – Section 48(1) – Judicature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Statute 1996.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D46B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5 September 1997, the petitioner was arrested by an official of the Kampala City Council (“KCC”).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that same day, he was charged before a magistrate’s court with the offence of obstructing a police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on duty contrary to section 106 of the Penal Code. He pleaded guilty and was sentenced to four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months’ imprisonment. On appeal against the conviction and sentence, the appeal was allowed on the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he had been convicted of a non-existent offence. On 22 October 1997 he was released from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prison and a month later, on 24 November, he filed a petition against the KCC and the Attorney-General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a declaration that the acts of the Respondents were unconstitutional and constituted a violation of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human rights, and compensation for the violation. When the petition came up for hearing, the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raised preliminary objections on the grounds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that no cause of action against them existed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as, in the case of the First Respondent, the wrongs complained of were not committed by a person in its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employment, and, in the case of the Second Respondent, section 4(5) of the Government Proceedings Act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69) provided that the government was not answerable for the acts of a person carrying out his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functions; (ii) that no constitutional issue requiring the Court’s interpretation existed and (iii)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that, in any case, the petition was time-barred. Counsel for the petitioner argued that the Second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was properly joined to the suit as the government was responsible for the unconstitutional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actions of its agent, the magistrate, and that section 4(5) of the Government Proceedings Act did not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to constitutional cases.</w:t>
      </w:r>
      <w:r w:rsidR="00CD46B3">
        <w:rPr>
          <w:rFonts w:ascii="Times New Roman" w:hAnsi="Times New Roman" w:cs="Times New Roman"/>
          <w:color w:val="000000"/>
        </w:rPr>
        <w:t xml:space="preserve"> </w:t>
      </w:r>
    </w:p>
    <w:p w:rsidR="00CD46B3" w:rsidRDefault="00CD46B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D46B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petitioner had failed to show that the KCC or its agents were responsible for whatever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happened to him after his arrest. The only role played by the KCC’s agent was in his arrest, which itself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to have been lawful. As for the Second Respondent, the provisions of section 4(5) of the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Proceedings Act clearly exempted the government from liability for acts or omissions of a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officer while acting in his official capacity. The section applied in both ordinary civil suits and in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matters;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Olwoch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[1972] EA 392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Serapio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Rukundo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CD46B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>constitutional case number 3/97 applied.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role of the court with regard to constitutional matters was ordinarily restricted to that of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under article 137 of the Constitution and, in this instance, since no question for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arose, the court had no jurisdiction.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4(1) of the Fundamental Rights and Freedoms (Enforcement Procedure) Rules provided that a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alleging a breach of the Constitution had to be filed within 30 days after the date of the alleged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breach. The rationale behind this rule was that constitutional cases were important and had to be attended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expeditiously;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Serapio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Rukundo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applied. In this instance, the petitioner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been freed on 22 October he ought to have filed the petition by 22 November and, as he had not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so, the petition was clearly out of time. The objection would therefore be allowed and the petition</w:t>
      </w:r>
      <w:r w:rsidR="00CD46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struck out.</w:t>
      </w:r>
      <w:r w:rsidR="00CD46B3">
        <w:rPr>
          <w:rFonts w:ascii="Times New Roman" w:hAnsi="Times New Roman" w:cs="Times New Roman"/>
          <w:color w:val="000000"/>
        </w:rPr>
        <w:t xml:space="preserve"> 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Olwoch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[1972] EA 392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constitutional appeal number 1/97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Serapio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Rukundo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constitutional case number 3/97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4A73C3" w:rsidRDefault="004A73C3" w:rsidP="004A7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3F18BF" w:rsidRDefault="004A73C3" w:rsidP="004A73C3">
      <w:proofErr w:type="spellStart"/>
      <w:r>
        <w:rPr>
          <w:rFonts w:ascii="Times New Roman" w:hAnsi="Times New Roman" w:cs="Times New Roman"/>
          <w:i/>
          <w:iCs/>
          <w:color w:val="000000"/>
        </w:rPr>
        <w:t>Moharaj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of Trinidad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Tabago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 2 </w:t>
      </w:r>
      <w:r>
        <w:rPr>
          <w:rFonts w:ascii="Times New Roman" w:hAnsi="Times New Roman" w:cs="Times New Roman"/>
          <w:color w:val="000000"/>
        </w:rPr>
        <w:t>[1978] 2 All ER 670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C3"/>
    <w:rsid w:val="003F18BF"/>
    <w:rsid w:val="004A73C3"/>
    <w:rsid w:val="00CD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AF25A-EEC6-43E3-A7C7-C877EDFF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2018-07-05T10:57:00Z</dcterms:created>
  <dcterms:modified xsi:type="dcterms:W3CDTF">2018-07-11T16:35:00Z</dcterms:modified>
</cp:coreProperties>
</file>