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Serugo v Kampala City Council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April 1998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14/97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Manyindo Dcj, Kato, Berko, Engwau and Twinomujuni JJA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P Karugaba</w:t>
      </w:r>
    </w:p>
    <w:p w:rsidR="000C5EF0" w:rsidRDefault="000C5EF0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Jurisdiction of the Court of Appeal – Interpretation – Limitation period –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an issue of constitutional interpretation arose – Whether the petition had been filed in time –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Articles 50 and 137 – Constitution – Rule 4(1) – Fundamental Rights and Freedoms (Enforcement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Procedure) Rules – Legal Notice 4, 1996.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Constitutional petition – Cause of action – Petitioner convicted of a non-existent offence –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Liability of government for acts of judicial officers – Parties – Whether the petitioner’s constitutional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rights had been violated – Whether there was a cause of action against Respondents – Article 128(4) –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– Section 4(5) – Government Proceedings Act (Chapter 69) – Section 48(1) – Judicature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Statute 1996.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A25B9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5 September 1997, the petitioner was arrested by an official of the Kampala City Council (“KCC”).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that same day, he was charged before a magistrate’s court with the offence of obstructing a police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on duty contrary to section 106 of the Penal Code. He pleaded guilty and was sentenced to four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months’ imprisonment. On appeal against the conviction and sentence, the appeal was allowed on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he had been convicted of a non-existent offence. On 22 October 1997 he was released from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prison and a month later, on 24 November, he filed a petition against the KCC and the Attorney-General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a declaration that the acts of the Respondents were unconstitutional and constituted a violation of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human rights, and compensation for the violation. When the petition came up for hearing,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raised preliminary objections on the grounds (i) that no cause of action against them existed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as, in the case of the First Respondent, the wrongs complained of were not committed by a person in its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employment, and, in the case of the Second Respondent, section 4(5) of the Government Proceedings Act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69) provided that the government was not answerable for the acts of a person carrying out his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functions; (ii) that no constitutional issue requiring the Court’s interpretation existed and (iii)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in any case, the petition was time-barred. Counsel for the petitioner argued that the Second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properly joined to the suit as the government was responsible for the unconstitutional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of its agent, the magistrate, and that section 4(5) of the Government Proceedings Act did not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to constitutional cases.</w:t>
      </w:r>
      <w:r w:rsidR="00FA25B9">
        <w:rPr>
          <w:rFonts w:ascii="Times New Roman" w:hAnsi="Times New Roman" w:cs="Times New Roman"/>
          <w:color w:val="000000"/>
        </w:rPr>
        <w:t xml:space="preserve"> </w:t>
      </w:r>
    </w:p>
    <w:p w:rsidR="00FA25B9" w:rsidRDefault="00FA25B9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petitioner had failed to show that the KCC or its agents were responsible for whatever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to him after his arrest. The only role played by the KCC’s agent was in his arrest, which itself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to have been lawful. As for the Second Respondent, the provisions of section 4(5) of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Proceedings Act clearly exempted the government from liability for acts or omissions of a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officer while acting in his official capacity. The section applied in both ordinary civil suits and in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matters;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Olwoch </w:t>
      </w:r>
      <w:r>
        <w:rPr>
          <w:rFonts w:ascii="Times New Roman" w:hAnsi="Times New Roman" w:cs="Times New Roman"/>
          <w:color w:val="000000"/>
        </w:rPr>
        <w:t xml:space="preserve">[1972] EA 392 and </w:t>
      </w:r>
      <w:r>
        <w:rPr>
          <w:rFonts w:ascii="Times New Roman" w:hAnsi="Times New Roman" w:cs="Times New Roman"/>
          <w:i/>
          <w:iCs/>
          <w:color w:val="000000"/>
        </w:rPr>
        <w:t>Serapio Rukundo v</w:t>
      </w:r>
      <w:r w:rsidR="00FA25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constitutional case number 3/97 applied.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role of the court with regard to constitutional matters was ordinarily restricted to that of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under article 137 of the Constitution and, in this instance, since no question for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arose, the court had no jurisdiction.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4(1) of the Fundamental Rights and Freedoms (Enforcement Procedure) Rules provided that a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alleging a breach of the Constitution had to be filed within 30 days after the date of the alleged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breach. The rationale behind this rule was that constitutional cases were important and had to be attended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expeditiously; </w:t>
      </w:r>
      <w:r>
        <w:rPr>
          <w:rFonts w:ascii="Times New Roman" w:hAnsi="Times New Roman" w:cs="Times New Roman"/>
          <w:i/>
          <w:iCs/>
          <w:color w:val="000000"/>
        </w:rPr>
        <w:t xml:space="preserve">Serapio Rukundo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applied. In this instance, the petitioner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freed on 22 October he ought to have filed the petition by 22 November and, as he had not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so, the petition was clearly out of time. The objection would therefore be allowed and the petition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Olwoch </w:t>
      </w:r>
      <w:r>
        <w:rPr>
          <w:rFonts w:ascii="Times New Roman" w:hAnsi="Times New Roman" w:cs="Times New Roman"/>
          <w:color w:val="000000"/>
        </w:rPr>
        <w:t xml:space="preserve">[1972] EA 392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Tinyefuza </w:t>
      </w:r>
      <w:r>
        <w:rPr>
          <w:rFonts w:ascii="Times New Roman" w:hAnsi="Times New Roman" w:cs="Times New Roman"/>
          <w:color w:val="000000"/>
        </w:rPr>
        <w:t>Supreme Court constitutional appeal number 1/97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Serapio Rukundo v Attorney-General </w:t>
      </w:r>
      <w:r>
        <w:rPr>
          <w:rFonts w:ascii="Times New Roman" w:hAnsi="Times New Roman" w:cs="Times New Roman"/>
          <w:color w:val="000000"/>
        </w:rPr>
        <w:t xml:space="preserve">constitutional case number 3/97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Moharaj v Attorney-General of Trinidad and Tabago No 2 </w:t>
      </w:r>
      <w:r>
        <w:rPr>
          <w:rFonts w:ascii="Times New Roman" w:hAnsi="Times New Roman" w:cs="Times New Roman"/>
          <w:color w:val="000000"/>
        </w:rPr>
        <w:t>[1978] 2 All ER 670</w:t>
      </w:r>
    </w:p>
    <w:p w:rsidR="000C5EF0" w:rsidRDefault="00FA25B9" w:rsidP="00FA2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A25B9" w:rsidRDefault="00FA25B9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A25B9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MANYINDO DCJ, KATO, BERKO, ENGWAU AND TWINOMUJUNI JJA: </w:t>
      </w:r>
      <w:r>
        <w:rPr>
          <w:rFonts w:ascii="Times New Roman" w:hAnsi="Times New Roman" w:cs="Times New Roman"/>
          <w:color w:val="000000"/>
        </w:rPr>
        <w:t>This ruling is in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preliminary objections raised by the two counsel who appeared for the Respondents. After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listening to the submissions made by both sides we upheld the objections and struck out the petition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reserving the reasons for the decision. We now proceed to give the reasons.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brief facts leading to this petition are as follows: On 5 September 1997 the petitioner, Ismail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Serugo, was arrested by an official of Kampala City Council called Steven Mungoma. On the same day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taken to the Magistrate Grade II’s Court at Kampala City Hall where he was charged with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obstructing a police officer on duty, contrary to section 106 of the Penal Code Act.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pleaded guilty to the charge. He was convicted and sentenced to four months’ imprisonment.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appealed to the chief magistrate, Buganda Road Court against conviction and sentence. His appeal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allowed on the ground that he had been convicted on a non-existing offence. He was released from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prison on 22 October 1997. He then filed this petition seeking a declaration that the acts of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were inconsistent with the Constitution and were a violation of his fundamental human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granted by the provisions of Articles 21(i), 23(i), 28(7) and (12), 25(2) and 31(4) and (5) of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petition further prayed for compensation of UShs 5 000 000 per day for the 50 days 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detention.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petition came up for hearing both counsel for the Respondent raised three preliminary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objections. These were: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1. that the petition had been brought against the wrong parties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2. that there was no constitutional issue requiring the interpretation by this Court; and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3. that the petition was time barred.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Sendege </w:t>
      </w:r>
      <w:r>
        <w:rPr>
          <w:rFonts w:ascii="Times New Roman" w:hAnsi="Times New Roman" w:cs="Times New Roman"/>
          <w:color w:val="000000"/>
        </w:rPr>
        <w:t>who appeared for the First Respondent submitted that the wrongs complained of were not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by an employee of Kampala City Council since the case was prosecuted by an officer from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of the Director of Public Prosecutions and the conviction was pronounced by a court established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Magistrates’ Court Act. He pointed out that all these officers are employed and paid by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central government and not the City Council; therefore he contended, there was no cause of action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Kampala City Council. It is remarkable that Mr </w:t>
      </w:r>
      <w:r>
        <w:rPr>
          <w:rFonts w:ascii="Times New Roman" w:hAnsi="Times New Roman" w:cs="Times New Roman"/>
          <w:i/>
          <w:iCs/>
          <w:color w:val="000000"/>
        </w:rPr>
        <w:t>Mbabazi</w:t>
      </w:r>
      <w:r>
        <w:rPr>
          <w:rFonts w:ascii="Times New Roman" w:hAnsi="Times New Roman" w:cs="Times New Roman"/>
          <w:color w:val="000000"/>
        </w:rPr>
        <w:t>, learned counsel for the petitioner, did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refer to this point in his long submission.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contents of the petitioner’s affidavit sworn of this petition and that of Steven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Mungoma sworn in support of the reply to the petition, there is no doubt that the only role played by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Respondent’s employee (Steven Mungoma) was to arrest the petitioner.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petitioner does not show in his affidavit that both the prosecutor and the Magistrate were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of the First Respondent. Although in paragraph 2(g) of his petition the petitioner says that it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First Respondent who set in motion the acts which culminated in violation of his human rights,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of the view that the First Respondent or its agents were not responsible for whatever happened to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petitioner after his arrest, which arrest was lawful in our view, and in any case, counsel for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conceded, quite rightly in our view, that any action arising from the arrest was time barred. In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we agree that the petitioner had no cause of action against the First Respondent.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Tumwesige</w:t>
      </w:r>
      <w:r>
        <w:rPr>
          <w:rFonts w:ascii="Times New Roman" w:hAnsi="Times New Roman" w:cs="Times New Roman"/>
          <w:color w:val="000000"/>
        </w:rPr>
        <w:t>, counsel for the Second Respondent, maintained that the Attorney-General had been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made a party to the petition. It was his contention that the government cannot be made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answerable for acts of a person carrying out his or her judicial functions. He based his argument on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4(5) of the Government Proceedings Act (Chapter 69) and the case of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Olwoch </w:t>
      </w:r>
      <w:r>
        <w:rPr>
          <w:rFonts w:ascii="Times New Roman" w:hAnsi="Times New Roman" w:cs="Times New Roman"/>
          <w:color w:val="000000"/>
        </w:rPr>
        <w:t>[1972] EA 392. He further contended that as the petitioner was lawfully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and sentenced by a competent court of law, his detention in prison for 50 days was lawful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provisions of article 23(1) of the Constitution. On the other hand Mr </w:t>
      </w:r>
      <w:r>
        <w:rPr>
          <w:rFonts w:ascii="Times New Roman" w:hAnsi="Times New Roman" w:cs="Times New Roman"/>
          <w:i/>
          <w:iCs/>
          <w:color w:val="000000"/>
        </w:rPr>
        <w:t xml:space="preserve">Mbabazi </w:t>
      </w:r>
      <w:r>
        <w:rPr>
          <w:rFonts w:ascii="Times New Roman" w:hAnsi="Times New Roman" w:cs="Times New Roman"/>
          <w:color w:val="000000"/>
        </w:rPr>
        <w:t>submitted that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 was properly joined to these proceedings as its agent (the Magistrate) acted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unconstitutionally. He pointed out that the Second Respondent was liable on “public torts” principle. 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based this argument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Mahoraj v Attorney-General of Trinidad and Tobago (No 2) </w:t>
      </w:r>
      <w:r>
        <w:rPr>
          <w:rFonts w:ascii="Times New Roman" w:hAnsi="Times New Roman" w:cs="Times New Roman"/>
          <w:color w:val="000000"/>
        </w:rPr>
        <w:t>[1978] 2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ER 670. It was Mr </w:t>
      </w:r>
      <w:r>
        <w:rPr>
          <w:rFonts w:ascii="Times New Roman" w:hAnsi="Times New Roman" w:cs="Times New Roman"/>
          <w:i/>
          <w:iCs/>
          <w:color w:val="000000"/>
        </w:rPr>
        <w:t>Mbabazi</w:t>
      </w:r>
      <w:r>
        <w:rPr>
          <w:rFonts w:ascii="Times New Roman" w:hAnsi="Times New Roman" w:cs="Times New Roman"/>
          <w:color w:val="000000"/>
        </w:rPr>
        <w:t>’s contention that section 4(5) of the Government Proceedings Act is not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applicable to constitutional cases and that </w:t>
      </w:r>
      <w:r>
        <w:rPr>
          <w:rFonts w:ascii="Times New Roman" w:hAnsi="Times New Roman" w:cs="Times New Roman"/>
          <w:i/>
          <w:iCs/>
          <w:color w:val="000000"/>
        </w:rPr>
        <w:t xml:space="preserve">Olwoch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upon which the Second Respondent relied was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 constitutional case. He also argued that the case of: </w:t>
      </w:r>
      <w:r>
        <w:rPr>
          <w:rFonts w:ascii="Times New Roman" w:hAnsi="Times New Roman" w:cs="Times New Roman"/>
          <w:i/>
          <w:iCs/>
          <w:color w:val="000000"/>
        </w:rPr>
        <w:t>Serapio Rukundo v Attorney-General</w:t>
      </w:r>
      <w:r w:rsidR="00FA25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case number 3/97 which decided that section 4(5) of the Government Proceedings Act is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constitutional cases and was consistent with article 128(4) of the Constitution was wrongly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4(5) of the Government Proceedings Act upon which Mr </w:t>
      </w:r>
      <w:r>
        <w:rPr>
          <w:rFonts w:ascii="Times New Roman" w:hAnsi="Times New Roman" w:cs="Times New Roman"/>
          <w:i/>
          <w:iCs/>
          <w:color w:val="000000"/>
        </w:rPr>
        <w:t xml:space="preserve">Tumwesige </w:t>
      </w:r>
      <w:r>
        <w:rPr>
          <w:rFonts w:ascii="Times New Roman" w:hAnsi="Times New Roman" w:cs="Times New Roman"/>
          <w:color w:val="000000"/>
        </w:rPr>
        <w:t>based his submission on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point reads as follows:</w:t>
      </w:r>
      <w:r w:rsidR="00FA25B9">
        <w:rPr>
          <w:rFonts w:ascii="Times New Roman" w:hAnsi="Times New Roman" w:cs="Times New Roman"/>
          <w:color w:val="000000"/>
        </w:rPr>
        <w:t xml:space="preserve"> </w:t>
      </w:r>
    </w:p>
    <w:p w:rsidR="00FA25B9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“4(5) No proceedings shall lie against the government by virtue of this section in respect of anything, done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omitted to be done by any person while discharging or purporting to discharge any responsibilities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 judicial nature vested in him, or any responsibilities which he has in connection with the execution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judicial process”.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A25B9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These provisions clearly do exempt the government from liability for acts or omissions of a judicial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while acting in his or her official capacity. Section 48(1) of the Judicature Statute 1996 and article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128(4) of the Constitution also do provide protection to judicial officers while carrying out their judicial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function. In </w:t>
      </w:r>
      <w:r>
        <w:rPr>
          <w:rFonts w:ascii="Times New Roman" w:hAnsi="Times New Roman" w:cs="Times New Roman"/>
          <w:i/>
          <w:iCs/>
          <w:color w:val="000000"/>
        </w:rPr>
        <w:t xml:space="preserve">Olwoch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the facts were almost the same as in the present case, the Court of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for East Africa held that no suit lies against the government for acts done in discharge of judicial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functions. In the present case the Magistrate who tried, convicted and sentenced the petitioner was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obviously carrying out his judicial function for which the government cannot be held liable. We do not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 with Mr </w:t>
      </w:r>
      <w:r>
        <w:rPr>
          <w:rFonts w:ascii="Times New Roman" w:hAnsi="Times New Roman" w:cs="Times New Roman"/>
          <w:i/>
          <w:iCs/>
          <w:color w:val="000000"/>
        </w:rPr>
        <w:t>Mbabazi</w:t>
      </w:r>
      <w:r>
        <w:rPr>
          <w:rFonts w:ascii="Times New Roman" w:hAnsi="Times New Roman" w:cs="Times New Roman"/>
          <w:color w:val="000000"/>
        </w:rPr>
        <w:t>’s contention that section 4(5) of Government Proceedings Act does not apply to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cases. In our view the section applies to both ordinary civil suits and constitutional matters.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was of the same view in </w:t>
      </w:r>
      <w:r>
        <w:rPr>
          <w:rFonts w:ascii="Times New Roman" w:hAnsi="Times New Roman" w:cs="Times New Roman"/>
          <w:i/>
          <w:iCs/>
          <w:color w:val="000000"/>
        </w:rPr>
        <w:t xml:space="preserve">Rukundo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We do not agree with the</w:t>
      </w:r>
      <w:r>
        <w:rPr>
          <w:rFonts w:ascii="Times New Roman" w:hAnsi="Times New Roman" w:cs="Times New Roman"/>
          <w:color w:val="000080"/>
        </w:rPr>
        <w:t>)</w:t>
      </w:r>
      <w:r w:rsidR="00FA25B9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petitioner that that case was wrongly decided. Accordingly the petitioner has no cause of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against the Second Respondent.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objection is that this Court has no jurisdiction in the matter. Mr </w:t>
      </w:r>
      <w:r>
        <w:rPr>
          <w:rFonts w:ascii="Times New Roman" w:hAnsi="Times New Roman" w:cs="Times New Roman"/>
          <w:i/>
          <w:iCs/>
          <w:color w:val="000000"/>
        </w:rPr>
        <w:t xml:space="preserve">Tumwesige </w:t>
      </w:r>
      <w:r>
        <w:rPr>
          <w:rFonts w:ascii="Times New Roman" w:hAnsi="Times New Roman" w:cs="Times New Roman"/>
          <w:color w:val="000000"/>
        </w:rPr>
        <w:t>argued at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 that this petition was improperly instituted in this Court under article 137 of the Constitution, as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issue involving interpretation of the Constitution. In his view the matter should have been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in any other competent court for redress under article 50 of the Constitution. He cited the decision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Supreme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Tinyefuza </w:t>
      </w:r>
      <w:r>
        <w:rPr>
          <w:rFonts w:ascii="Times New Roman" w:hAnsi="Times New Roman" w:cs="Times New Roman"/>
          <w:color w:val="000000"/>
        </w:rPr>
        <w:t>Supreme Court constitutional appeal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1/97 in support of that argument. Mr </w:t>
      </w:r>
      <w:r>
        <w:rPr>
          <w:rFonts w:ascii="Times New Roman" w:hAnsi="Times New Roman" w:cs="Times New Roman"/>
          <w:i/>
          <w:iCs/>
          <w:color w:val="000000"/>
        </w:rPr>
        <w:t xml:space="preserve">Sendege </w:t>
      </w:r>
      <w:r>
        <w:rPr>
          <w:rFonts w:ascii="Times New Roman" w:hAnsi="Times New Roman" w:cs="Times New Roman"/>
          <w:color w:val="000000"/>
        </w:rPr>
        <w:t xml:space="preserve">agreed with Mr </w:t>
      </w:r>
      <w:r>
        <w:rPr>
          <w:rFonts w:ascii="Times New Roman" w:hAnsi="Times New Roman" w:cs="Times New Roman"/>
          <w:i/>
          <w:iCs/>
          <w:color w:val="000000"/>
        </w:rPr>
        <w:t xml:space="preserve">Tumwesige </w:t>
      </w:r>
      <w:r>
        <w:rPr>
          <w:rFonts w:ascii="Times New Roman" w:hAnsi="Times New Roman" w:cs="Times New Roman"/>
          <w:color w:val="000000"/>
        </w:rPr>
        <w:t>on this point. Mr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Mbabazi </w:t>
      </w:r>
      <w:r>
        <w:rPr>
          <w:rFonts w:ascii="Times New Roman" w:hAnsi="Times New Roman" w:cs="Times New Roman"/>
          <w:color w:val="000000"/>
        </w:rPr>
        <w:t>had a different view on the matter. He submitted that this Court has jurisdiction to concurrently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the articles 50 and 137 of the Constitution. It was his view that this Court does not only handle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concerning the interpretation of the Constitution but it also handles the enforcement of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when the violation of its provisions occurs. He also relied on </w:t>
      </w:r>
      <w:r>
        <w:rPr>
          <w:rFonts w:ascii="Times New Roman" w:hAnsi="Times New Roman" w:cs="Times New Roman"/>
          <w:i/>
          <w:iCs/>
          <w:color w:val="000000"/>
        </w:rPr>
        <w:t xml:space="preserve">Tinyefuza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FA25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 this Court should normally be involved in matters requiring interpretation of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under article 137. In the instant case the question of interpretation of the Constitution does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arise therefore this Court has no jurisdiction in the matter.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question of the petition being time-barred, which was the last ground of the preliminary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objection, Mr Sendege, the learned counsel for the First Respondent, submitted that the petition was time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barred because it had been filed 30 days after the occurrence of the acts complained of by the petitioner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contrary to rule 4 of Legal Notice Number 4 of 1996. On the other hand Mr Mbabazi,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petitioner argued that Legal Notice Number 4 of 1996 is unconstitutional as it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forecloses the rights of an individual to seek redress.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4(1) of the Modifications to the Fundamental Rights and Freedoms (Enforcement Procedure)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1992 Directions 1996, upon which this objection was based reads as follows:</w:t>
      </w:r>
      <w:r w:rsidR="00FA25B9">
        <w:rPr>
          <w:rFonts w:ascii="Times New Roman" w:hAnsi="Times New Roman" w:cs="Times New Roman"/>
          <w:color w:val="000000"/>
        </w:rPr>
        <w:t xml:space="preserve"> </w:t>
      </w:r>
    </w:p>
    <w:p w:rsidR="00FA25B9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“4(1) The petition shall be presented by the petitioner by lodging it in person, or, by or through his or her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advocate, if any, named at the foot of the petition, at the Office of the Registrar and shall be lodged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thirty days after the date of the breach of the Constitution complained of in the petition”.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considered this matter in </w:t>
      </w:r>
      <w:r>
        <w:rPr>
          <w:rFonts w:ascii="Times New Roman" w:hAnsi="Times New Roman" w:cs="Times New Roman"/>
          <w:i/>
          <w:iCs/>
          <w:color w:val="000000"/>
        </w:rPr>
        <w:t xml:space="preserve">Rukundo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stated thus: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above rule provides that a petition shall be lodged within thirty days after breach of the Constitution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complained of. The purpose of this rule is not hard to find. It takes into account among others the importance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constitutional cases, which must be attended to expeditiously and seeks to cut out stale cases. We do not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therefore agree with Mr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Kayondo </w:t>
      </w:r>
      <w:r>
        <w:rPr>
          <w:rFonts w:ascii="Times New Roman" w:hAnsi="Times New Roman" w:cs="Times New Roman"/>
          <w:color w:val="000000"/>
          <w:sz w:val="20"/>
          <w:szCs w:val="20"/>
        </w:rPr>
        <w:t>SC that in constitutional matters there is no time limit. He did not give us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authority for that proposition. We think that this petition offended against the said Rule 4(1). We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therefore, uphold the first objection”.</w:t>
      </w:r>
      <w:r w:rsidR="00FA25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still hold the same view.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agree with Mr </w:t>
      </w:r>
      <w:r>
        <w:rPr>
          <w:rFonts w:ascii="Times New Roman" w:hAnsi="Times New Roman" w:cs="Times New Roman"/>
          <w:i/>
          <w:iCs/>
          <w:color w:val="000000"/>
        </w:rPr>
        <w:t xml:space="preserve">Mbabazi </w:t>
      </w:r>
      <w:r>
        <w:rPr>
          <w:rFonts w:ascii="Times New Roman" w:hAnsi="Times New Roman" w:cs="Times New Roman"/>
          <w:color w:val="000000"/>
        </w:rPr>
        <w:t>that detention is a continuing wrong. In this case the cause of action in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unlawful detention would have arisen on or by 22 October 1997 when the petitioner was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released from prison. It follows that this petition should have been filed on 22 November 1997. However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filed on 24 Noveber 1997 which was clearly out of time.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for those reasons that we allowed the objections and struck out this petition with costs to the</w:t>
      </w:r>
      <w:r w:rsidR="00FA2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0C5EF0" w:rsidRDefault="000C5EF0" w:rsidP="000C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Kayondo SC</w:t>
      </w:r>
    </w:p>
    <w:p w:rsidR="003F18BF" w:rsidRDefault="000C5EF0" w:rsidP="000C5EF0">
      <w:r>
        <w:rPr>
          <w:rFonts w:ascii="Times New Roman" w:hAnsi="Times New Roman" w:cs="Times New Roman"/>
          <w:color w:val="000000"/>
        </w:rPr>
        <w:t>For the Respondent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F0"/>
    <w:rsid w:val="000C5EF0"/>
    <w:rsid w:val="003F18BF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CA0D-FB68-475E-BB28-54162649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2018-07-05T10:58:00Z</dcterms:created>
  <dcterms:modified xsi:type="dcterms:W3CDTF">2018-07-11T16:33:00Z</dcterms:modified>
</cp:coreProperties>
</file>