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Shah v Aperit Investments SA</w:t>
      </w:r>
    </w:p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18 November 1999</w:t>
      </w:r>
    </w:p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143/99</w:t>
      </w:r>
    </w:p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Gicheru, Akiwumi and Owuor Jja</w:t>
      </w:r>
    </w:p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8D5A76" w:rsidRDefault="008D5A76" w:rsidP="004D2B8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W Amoko</w:t>
      </w:r>
    </w:p>
    <w:p w:rsidR="008D5A76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Practice and procedure – Court of Appeal – Record of appeal – Contents – Distinction between</w:t>
      </w:r>
    </w:p>
    <w:p w:rsidR="004D2B88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primary documents and secondary documents – Consequences of failure to include a primary document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like an order – Rules 80 and 85(1) – Court of Appeal Rules.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[2] Practice and procedure – Court of Appeal – Record of appeal – Contents – Distinction between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primary documents and secondary documents – Whether documents included in an affidavit included in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the record of appeal had to have certified translations thereof – Consequences of failure to include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certified copies of a document in a language other than English – Rule 85(1)</w:t>
      </w:r>
      <w:r>
        <w:rPr>
          <w:rFonts w:ascii="Times New Roman" w:hAnsi="Times New Roman" w:cs="Times New Roman"/>
          <w:color w:val="000000"/>
        </w:rPr>
        <w:t xml:space="preserve">(f) </w:t>
      </w:r>
      <w:r>
        <w:rPr>
          <w:rFonts w:ascii="Times New Roman" w:hAnsi="Times New Roman" w:cs="Times New Roman"/>
          <w:i/>
          <w:iCs/>
          <w:color w:val="000000"/>
        </w:rPr>
        <w:t>– Court of Appeal Rules.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[3] Practice and procedure – Court of Appeal – Record of appeal – Contents – Orders –Form of the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orders – Whether an order should be drawn up in the same manner as a decree – Consequences of the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record of appeal containing an order not drawn up in the same manner as a decree – Order 20, Rules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6(1) and 7 – Civil Procedure Rules.</w:t>
      </w:r>
      <w:r w:rsidR="004D2B88">
        <w:rPr>
          <w:rFonts w:ascii="Times New Roman" w:hAnsi="Times New Roman" w:cs="Times New Roman"/>
          <w:i/>
          <w:iCs/>
          <w:color w:val="000000"/>
        </w:rPr>
        <w:t xml:space="preserve"> </w:t>
      </w:r>
    </w:p>
    <w:p w:rsidR="004D2B88" w:rsidRDefault="004D2B88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8D5A76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4D2B88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 the Court, of its own motion struck out the Appeal, as it was incurably incompetent for three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different reasons: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an ambiguity in the order appealed from, as the date mentioned therein differed from the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on which the ruling was in fact appealled from. An ambiguity in a primary document like an order is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fatal. </w:t>
      </w:r>
      <w:r>
        <w:rPr>
          <w:rFonts w:ascii="Times New Roman" w:hAnsi="Times New Roman" w:cs="Times New Roman"/>
          <w:i/>
          <w:iCs/>
          <w:color w:val="000000"/>
        </w:rPr>
        <w:t xml:space="preserve">Anjumani v Ali </w:t>
      </w:r>
      <w:r>
        <w:rPr>
          <w:rFonts w:ascii="Times New Roman" w:hAnsi="Times New Roman" w:cs="Times New Roman"/>
          <w:color w:val="000000"/>
        </w:rPr>
        <w:t>[1998] LLR 868 (CAK) applied.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formal order included in the record of appeal was incurably defective as it was not prepared in a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like manner as a decree as required by Order 20, Rules 6(1) and 7 of the Civil Procedure Rules.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share certificates which formed part of the pleadings in the application before the Superior Court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in Spanish and contrary to rule 85(1)(</w:t>
      </w:r>
      <w:r>
        <w:rPr>
          <w:rFonts w:ascii="Times New Roman" w:hAnsi="Times New Roman" w:cs="Times New Roman"/>
          <w:i/>
          <w:i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) of the Court of Appeal rules. There were no certified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translations of the said certificates and hence the record was fatally defective.</w:t>
      </w:r>
      <w:r w:rsidR="004D2B8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struck out.</w:t>
      </w:r>
      <w:r w:rsidR="004D2B88">
        <w:rPr>
          <w:rFonts w:ascii="Times New Roman" w:hAnsi="Times New Roman" w:cs="Times New Roman"/>
          <w:color w:val="000000"/>
        </w:rPr>
        <w:t xml:space="preserve"> </w:t>
      </w:r>
    </w:p>
    <w:p w:rsidR="004D2B88" w:rsidRDefault="004D2B88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D5A76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Case referred to in ruling</w:t>
      </w:r>
    </w:p>
    <w:p w:rsidR="008D5A76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8D5A76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8D5A76" w:rsidRDefault="008D5A76" w:rsidP="008D5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3F18BF" w:rsidRDefault="008D5A76" w:rsidP="008D5A76">
      <w:r>
        <w:rPr>
          <w:rFonts w:ascii="Times New Roman" w:hAnsi="Times New Roman" w:cs="Times New Roman"/>
          <w:i/>
          <w:iCs/>
          <w:color w:val="000000"/>
        </w:rPr>
        <w:t xml:space="preserve">Anjumani v Ali </w:t>
      </w:r>
      <w:r>
        <w:rPr>
          <w:rFonts w:ascii="Times New Roman" w:hAnsi="Times New Roman" w:cs="Times New Roman"/>
          <w:color w:val="000000"/>
        </w:rPr>
        <w:t xml:space="preserve">[1998] LLR 868 (CAK)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76"/>
    <w:rsid w:val="003F18BF"/>
    <w:rsid w:val="004D2B88"/>
    <w:rsid w:val="008D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23F28-53F9-48C8-8D23-D7C6CADB6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2018-07-05T10:59:00Z</dcterms:created>
  <dcterms:modified xsi:type="dcterms:W3CDTF">2018-07-11T16:30:00Z</dcterms:modified>
</cp:coreProperties>
</file>