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38" w:rsidRDefault="00262738" w:rsidP="001E3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Shenoi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Maximov</w:t>
      </w:r>
      <w:proofErr w:type="spellEnd"/>
    </w:p>
    <w:p w:rsidR="00262738" w:rsidRDefault="00262738" w:rsidP="001E3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262738" w:rsidRDefault="00262738" w:rsidP="001E3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August 2005</w:t>
      </w:r>
    </w:p>
    <w:p w:rsidR="00262738" w:rsidRDefault="00262738" w:rsidP="001E3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9/03</w:t>
      </w:r>
    </w:p>
    <w:p w:rsidR="00262738" w:rsidRDefault="00262738" w:rsidP="001E3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262738" w:rsidRDefault="00262738" w:rsidP="001E3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262738" w:rsidRDefault="00262738" w:rsidP="001E3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Breach of contract – Formation of contract – Misrepresentation – Whether there had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misrepresentation by the appellants.</w:t>
      </w:r>
    </w:p>
    <w:p w:rsidR="00262738" w:rsidRDefault="001E3490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262738">
        <w:rPr>
          <w:rFonts w:ascii="Times New Roman" w:hAnsi="Times New Roman" w:cs="Times New Roman"/>
          <w:i/>
          <w:iCs/>
          <w:color w:val="000000"/>
        </w:rPr>
        <w:t>[2] Evidence – Written document – Authorship of document contested – Modes of proving authorship of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disputed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handwriting – Whether the first appellant was author of disputed fax – Section 66 – Evidence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Act.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Judgment – Interest – Award of interest – Award of interest a matter for the court’s discretion –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had properly exercised its discretion in substituting a higher rate of interest.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E3490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May 1994, the respondent, a Russian businessman dealing in finance and investment, was introduced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first appellant. The first appellant informed the respondent that he was the owner of a company,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Limited, which dealt in gold and diamonds. The two discussed the possibility of going into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mineral business together. As a result of the discussions, the two entered into an agreement between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Limited, as the first participant, and the respondent together with two of his associates,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Kolganov</w:t>
      </w:r>
      <w:proofErr w:type="spellEnd"/>
      <w:r>
        <w:rPr>
          <w:rFonts w:ascii="Times New Roman" w:hAnsi="Times New Roman" w:cs="Times New Roman"/>
          <w:color w:val="000000"/>
        </w:rPr>
        <w:t>, as the second participants. The agreement was executed on 9 June 1994 and provided that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and his associates would provide US$ 42 000 as a token deposit to the first participant on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signing of the agreement. It also provided that the agreement would terminate if the deposit was not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within a stipulated time and that the first participant would appoint the second participants as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directors of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. After the execution, the name of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 was changed to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Limited. In the event, the respondent was only able to remit US$ 20 000 to the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bank account.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month the respondent received a handwritten fax informing him of the prospects of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joint venture and inviting him to invest US$ 200 000 in the joint venture with a prospect of earning US$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 to 25 million a year. In August, the respondent arranged for US$ 200 000 to be sent to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MKP’s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account. The money was duly credited to </w:t>
      </w:r>
      <w:proofErr w:type="spellStart"/>
      <w:r>
        <w:rPr>
          <w:rFonts w:ascii="Times New Roman" w:hAnsi="Times New Roman" w:cs="Times New Roman"/>
          <w:color w:val="000000"/>
        </w:rPr>
        <w:t>Shivam’s</w:t>
      </w:r>
      <w:proofErr w:type="spellEnd"/>
      <w:r>
        <w:rPr>
          <w:rFonts w:ascii="Times New Roman" w:hAnsi="Times New Roman" w:cs="Times New Roman"/>
          <w:color w:val="000000"/>
        </w:rPr>
        <w:t xml:space="preserve"> account on 23 August and although the appellant did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acknowledge receipt of the money,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>
        <w:rPr>
          <w:rFonts w:ascii="Times New Roman" w:hAnsi="Times New Roman" w:cs="Times New Roman"/>
          <w:color w:val="000000"/>
        </w:rPr>
        <w:t xml:space="preserve"> sent a fax to the respondent telling him that the money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received. Thereafter, there was a breakdown in communications between the first appellant and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 In October 1994, the respondent travelled to Uganda to meet the first appellant but did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obtain a satisfactory explanation. In November 1994, another meeting was arranged between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and their lawyers to try and reach an amicable settlement. The negotiations failed and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returned to Moscow leaving instructions with his lawyers to take action.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Later, the first appellant’s lawyers wrote to the respondent informing him that the first appellant was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ready to pay him US$ 161 623 in total satisfaction of the debt. However, the only money that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received was a sum of US$ 26 000.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then sued the appellants jointly seeking US$ 220 000 being money had and received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use of the respondent by the appellants, general damages, and costs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 appellants denied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 and averred,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they never received any money from the respondent and put it to their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use. The trial court found in favour of the respondent and ordered that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refund US$ 194 000 to the respondent, as well as pay him US$ 275 000 in general damages, as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as interest of 6 percent and costs. The appellants appealed to the Court of Appeal which partially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the appeal, set aside the award of US$ 275 000 and reduced the amount to be refunded to US$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184 000 but raised the rate of interest to 20 percent.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now appealed to the Supreme Court on the grounds that the Court of Appeal had erred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finding that the first appellant was the author of the fax, in finding that the appellants admitted receipt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US$ 200 000 and in finding that an interest rate of 20 percent per annum was due. Counsel for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 argued,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procedure set out in section 66 of the Evidence Act ought to have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followed in proving the authorship of the fax and that the principle of money had and received was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applicable because there was no evidence that the first appellant received any money from the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In reply, counsel for the respondent argued that the Evidence Act did not exclude other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types of evidence for proof of disputed handwriting. Moreover, in his evidence, the first appellant had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departed from his pleadings in which he had denied receiving the money and had instead attempted to</w:t>
      </w:r>
      <w:r w:rsidR="001E34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for it and this provided grounds for rejecting his evidence.</w:t>
      </w:r>
    </w:p>
    <w:p w:rsidR="00262738" w:rsidRDefault="001E3490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b/>
          <w:bCs/>
          <w:color w:val="000000"/>
        </w:rPr>
        <w:t xml:space="preserve">Held </w:t>
      </w:r>
      <w:r w:rsidR="00262738">
        <w:rPr>
          <w:rFonts w:ascii="Times New Roman" w:hAnsi="Times New Roman" w:cs="Times New Roman"/>
          <w:color w:val="000000"/>
        </w:rPr>
        <w:t>– The Court of Appeal had adequately re-evaluated the evidence on record and its conclusion,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>the first appellant was the author of the fax, could not be faulted.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>In the circumstances of the case, the Court of Appeal was justified in upholding the trial court’s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>findings that the appellants had admitted receipt of US$ 200 000 and that they were jointly liable to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>refund the money as money had and received (</w:t>
      </w:r>
      <w:r w:rsidR="00262738">
        <w:rPr>
          <w:rFonts w:ascii="Times New Roman" w:hAnsi="Times New Roman" w:cs="Times New Roman"/>
          <w:i/>
          <w:iCs/>
          <w:color w:val="000000"/>
        </w:rPr>
        <w:t>sic</w:t>
      </w:r>
      <w:r w:rsidR="00262738">
        <w:rPr>
          <w:rFonts w:ascii="Times New Roman" w:hAnsi="Times New Roman" w:cs="Times New Roman"/>
          <w:color w:val="000000"/>
        </w:rPr>
        <w:t>).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 xml:space="preserve">The award of interest was a matter for the court’s discretion; </w:t>
      </w:r>
      <w:proofErr w:type="spellStart"/>
      <w:r w:rsidR="00262738">
        <w:rPr>
          <w:rFonts w:ascii="Times New Roman" w:hAnsi="Times New Roman" w:cs="Times New Roman"/>
          <w:i/>
          <w:iCs/>
          <w:color w:val="000000"/>
        </w:rPr>
        <w:t>Sietco</w:t>
      </w:r>
      <w:proofErr w:type="spellEnd"/>
      <w:r w:rsidR="00262738">
        <w:rPr>
          <w:rFonts w:ascii="Times New Roman" w:hAnsi="Times New Roman" w:cs="Times New Roman"/>
          <w:i/>
          <w:iCs/>
          <w:color w:val="000000"/>
        </w:rPr>
        <w:t xml:space="preserve"> v Noble Builders </w:t>
      </w:r>
      <w:r w:rsidR="00262738">
        <w:rPr>
          <w:rFonts w:ascii="Times New Roman" w:hAnsi="Times New Roman" w:cs="Times New Roman"/>
          <w:color w:val="000000"/>
        </w:rPr>
        <w:t>applied. In this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>instance, the Court of Appeal had rightly held that the money had been received for a commercial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>transaction and that a rate of 20 percent was more appropriate than the court’s rate of 6 percent.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color w:val="000000"/>
        </w:rPr>
        <w:t>Appeal dismissed.</w:t>
      </w:r>
      <w:r>
        <w:rPr>
          <w:rFonts w:ascii="Times New Roman" w:hAnsi="Times New Roman" w:cs="Times New Roman"/>
          <w:color w:val="000000"/>
        </w:rPr>
        <w:t xml:space="preserve"> </w:t>
      </w:r>
      <w:r w:rsidR="00262738"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Biteremo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Munyanda</w:t>
      </w:r>
      <w:proofErr w:type="spellEnd"/>
      <w:r>
        <w:rPr>
          <w:rFonts w:ascii="Times New Roman" w:hAnsi="Times New Roman" w:cs="Times New Roman"/>
          <w:color w:val="000000"/>
        </w:rPr>
        <w:t>, Civil appeal number 15 of 1991 (SCU) (UR)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Century Automobiles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Hurchings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Bienois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[1965] EA 304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Interfreight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Forwarders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v East African Development Bank </w:t>
      </w:r>
      <w:r>
        <w:rPr>
          <w:rFonts w:ascii="Times New Roman" w:hAnsi="Times New Roman" w:cs="Times New Roman"/>
          <w:color w:val="000000"/>
        </w:rPr>
        <w:t>Civil appeal number 33 of 1992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(SCU) (UR)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Bandali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Lambank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Tanganyika Ltd </w:t>
      </w:r>
      <w:r>
        <w:rPr>
          <w:rFonts w:ascii="Times New Roman" w:hAnsi="Times New Roman" w:cs="Times New Roman"/>
          <w:color w:val="000000"/>
        </w:rPr>
        <w:t>[1963] EA 304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Sietco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Noble Builders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 xml:space="preserve">Supreme Court civil appeal number 31 of 1995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62738" w:rsidRDefault="00262738" w:rsidP="00262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Hanbutts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Plasticine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Ltd, Wayne, Tank and Pump </w:t>
      </w:r>
      <w:r>
        <w:rPr>
          <w:rFonts w:ascii="Times New Roman" w:hAnsi="Times New Roman" w:cs="Times New Roman"/>
          <w:color w:val="000000"/>
        </w:rPr>
        <w:t>[1970] 1 QB 447</w:t>
      </w:r>
    </w:p>
    <w:p w:rsidR="00366D10" w:rsidRDefault="00262738" w:rsidP="00262738">
      <w:r>
        <w:rPr>
          <w:rFonts w:ascii="Times New Roman" w:hAnsi="Times New Roman" w:cs="Times New Roman"/>
          <w:i/>
          <w:iCs/>
          <w:color w:val="000000"/>
        </w:rPr>
        <w:t>Solomon v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38"/>
    <w:rsid w:val="001E3490"/>
    <w:rsid w:val="00262738"/>
    <w:rsid w:val="003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E28D8-57A8-44BD-9085-DD178E1D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2018-07-04T20:15:00Z</dcterms:created>
  <dcterms:modified xsi:type="dcterms:W3CDTF">2018-07-11T16:26:00Z</dcterms:modified>
</cp:coreProperties>
</file>