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C2F" w:rsidRDefault="00541C2F" w:rsidP="00E05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Shenoi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Maximov</w:t>
      </w:r>
      <w:proofErr w:type="spellEnd"/>
    </w:p>
    <w:p w:rsidR="00541C2F" w:rsidRDefault="00541C2F" w:rsidP="00E05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541C2F" w:rsidRDefault="00541C2F" w:rsidP="00E05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August 2005</w:t>
      </w:r>
    </w:p>
    <w:p w:rsidR="00541C2F" w:rsidRDefault="00541C2F" w:rsidP="00E05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9/03</w:t>
      </w:r>
    </w:p>
    <w:p w:rsidR="00541C2F" w:rsidRDefault="00541C2F" w:rsidP="00E05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541C2F" w:rsidRDefault="00541C2F" w:rsidP="00E05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541C2F" w:rsidRDefault="00541C2F" w:rsidP="00E05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41C2F" w:rsidRDefault="00541C2F" w:rsidP="00541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Breach of contract – Formation of contract – Misrepresentation – Whether there had</w:t>
      </w:r>
    </w:p>
    <w:p w:rsidR="00541C2F" w:rsidRDefault="00541C2F" w:rsidP="00541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been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 misrepresentation by the appellants.</w:t>
      </w:r>
    </w:p>
    <w:p w:rsidR="00541C2F" w:rsidRDefault="00541C2F" w:rsidP="00541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Written document – Authorship of document contested – Modes of proving authorship of</w:t>
      </w:r>
    </w:p>
    <w:p w:rsidR="00541C2F" w:rsidRDefault="00541C2F" w:rsidP="00541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disputed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handwriting – Whether the first appellant was author of disputed fax – Section 66 – Evidence</w:t>
      </w:r>
    </w:p>
    <w:p w:rsidR="00541C2F" w:rsidRDefault="00541C2F" w:rsidP="00541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Act.</w:t>
      </w:r>
    </w:p>
    <w:p w:rsidR="00541C2F" w:rsidRDefault="00541C2F" w:rsidP="00541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Judgment – Interest – Award of interest – Award of interest a matter for the court’s discretion –</w:t>
      </w:r>
    </w:p>
    <w:p w:rsidR="00541C2F" w:rsidRDefault="00541C2F" w:rsidP="00541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court had properly exercised its discretion in substituting a higher rate of interest.</w:t>
      </w:r>
    </w:p>
    <w:p w:rsidR="00541C2F" w:rsidRDefault="00E05680" w:rsidP="00E05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05680" w:rsidRDefault="00541C2F" w:rsidP="00541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Oder JSC: </w:t>
      </w:r>
      <w:r>
        <w:rPr>
          <w:rFonts w:ascii="Times New Roman" w:hAnsi="Times New Roman" w:cs="Times New Roman"/>
          <w:color w:val="000000"/>
        </w:rPr>
        <w:t xml:space="preserve">This is a second appeal by the appellants, </w:t>
      </w:r>
      <w:proofErr w:type="spellStart"/>
      <w:r>
        <w:rPr>
          <w:rFonts w:ascii="Times New Roman" w:hAnsi="Times New Roman" w:cs="Times New Roman"/>
          <w:color w:val="000000"/>
        </w:rPr>
        <w:t>Premchandra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Shenoi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MKP Limited,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decision of the Court of Appeal of Uganda, which confirmed the judgment of the High Court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favour of the respondent, </w:t>
      </w:r>
      <w:proofErr w:type="spellStart"/>
      <w:r>
        <w:rPr>
          <w:rFonts w:ascii="Times New Roman" w:hAnsi="Times New Roman" w:cs="Times New Roman"/>
          <w:color w:val="000000"/>
        </w:rPr>
        <w:t>Maximov</w:t>
      </w:r>
      <w:proofErr w:type="spellEnd"/>
      <w:r>
        <w:rPr>
          <w:rFonts w:ascii="Times New Roman" w:hAnsi="Times New Roman" w:cs="Times New Roman"/>
          <w:color w:val="000000"/>
        </w:rPr>
        <w:t xml:space="preserve"> Oleg </w:t>
      </w:r>
      <w:proofErr w:type="spellStart"/>
      <w:r>
        <w:rPr>
          <w:rFonts w:ascii="Times New Roman" w:hAnsi="Times New Roman" w:cs="Times New Roman"/>
          <w:color w:val="000000"/>
        </w:rPr>
        <w:t>Petrovich</w:t>
      </w:r>
      <w:proofErr w:type="spellEnd"/>
      <w:r>
        <w:rPr>
          <w:rFonts w:ascii="Times New Roman" w:hAnsi="Times New Roman" w:cs="Times New Roman"/>
          <w:color w:val="000000"/>
        </w:rPr>
        <w:t>, who was the plaintiff in the High Court suit.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background to the appeal may be briefly stated as follows: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is a Russian businessman who deals in finance and investment. He is based in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Moscow. Through one of his partners, called </w:t>
      </w:r>
      <w:proofErr w:type="spellStart"/>
      <w:r>
        <w:rPr>
          <w:rFonts w:ascii="Times New Roman" w:hAnsi="Times New Roman" w:cs="Times New Roman"/>
          <w:color w:val="000000"/>
        </w:rPr>
        <w:t>Ponsov</w:t>
      </w:r>
      <w:proofErr w:type="spellEnd"/>
      <w:r>
        <w:rPr>
          <w:rFonts w:ascii="Times New Roman" w:hAnsi="Times New Roman" w:cs="Times New Roman"/>
          <w:color w:val="000000"/>
        </w:rPr>
        <w:t>, he got in touch with another Russian, called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Kolganov</w:t>
      </w:r>
      <w:proofErr w:type="spellEnd"/>
      <w:r>
        <w:rPr>
          <w:rFonts w:ascii="Times New Roman" w:hAnsi="Times New Roman" w:cs="Times New Roman"/>
          <w:color w:val="000000"/>
        </w:rPr>
        <w:t xml:space="preserve">, who was working in Uganda as a journalist. Through </w:t>
      </w:r>
      <w:proofErr w:type="spellStart"/>
      <w:r>
        <w:rPr>
          <w:rFonts w:ascii="Times New Roman" w:hAnsi="Times New Roman" w:cs="Times New Roman"/>
          <w:color w:val="000000"/>
        </w:rPr>
        <w:t>Kolganov</w:t>
      </w:r>
      <w:proofErr w:type="spellEnd"/>
      <w:r>
        <w:rPr>
          <w:rFonts w:ascii="Times New Roman" w:hAnsi="Times New Roman" w:cs="Times New Roman"/>
          <w:color w:val="000000"/>
        </w:rPr>
        <w:t>, the respondent established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contact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Patel, living in Uganda. Sometime in May 1994, the respondent received an e-mail from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Patel. On receipt of the e-mail, the respondent came to Uganda with one </w:t>
      </w:r>
      <w:proofErr w:type="spellStart"/>
      <w:r>
        <w:rPr>
          <w:rFonts w:ascii="Times New Roman" w:hAnsi="Times New Roman" w:cs="Times New Roman"/>
          <w:color w:val="000000"/>
        </w:rPr>
        <w:t>Ponsov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Nikoli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Andreevic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hereinafter referred to simply as </w:t>
      </w:r>
      <w:proofErr w:type="spellStart"/>
      <w:r>
        <w:rPr>
          <w:rFonts w:ascii="Times New Roman" w:hAnsi="Times New Roman" w:cs="Times New Roman"/>
          <w:color w:val="000000"/>
        </w:rPr>
        <w:t>Ponsov</w:t>
      </w:r>
      <w:proofErr w:type="spellEnd"/>
      <w:r>
        <w:rPr>
          <w:rFonts w:ascii="Times New Roman" w:hAnsi="Times New Roman" w:cs="Times New Roman"/>
          <w:color w:val="000000"/>
        </w:rPr>
        <w:t>, with whom the respondent had several business relationships in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Russia. The intention of the respondent in coming to Uganda was to look into the possibility of investing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mining business in Uganda.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Patel introduced the first appellant to the respondent. The first appellant informed the respondent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he was the owner of a company called 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Limited that deals in gold and diamond.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discussed with the first appellant, the possibility of doing business with him in mineral. After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discussion, the respondent agreed to invest in the mining business of the first appellant.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appellant was to secure permits, licenses and certificates from the relevant authorities for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establishment of the business. The first appellant took the respondent to several ministries and authorities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this country connected with mining business to </w:t>
      </w:r>
      <w:proofErr w:type="spellStart"/>
      <w:r>
        <w:rPr>
          <w:rFonts w:ascii="Times New Roman" w:hAnsi="Times New Roman" w:cs="Times New Roman"/>
          <w:color w:val="000000"/>
        </w:rPr>
        <w:t>familiarise</w:t>
      </w:r>
      <w:proofErr w:type="spellEnd"/>
      <w:r>
        <w:rPr>
          <w:rFonts w:ascii="Times New Roman" w:hAnsi="Times New Roman" w:cs="Times New Roman"/>
          <w:color w:val="000000"/>
        </w:rPr>
        <w:t xml:space="preserve"> him with the rules and procedure for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establishing business in the country.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arrangements between the two formed what came to be known as “the participation agreement”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will hereafter be referred as “joint venture.” It was executed on 9 of June 1994 and was made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“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Ltd” as the “first participant” and the respondent plus his two associates,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Ponsov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Nikoli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Andreevic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Kolganov</w:t>
      </w:r>
      <w:proofErr w:type="spellEnd"/>
      <w:r>
        <w:rPr>
          <w:rFonts w:ascii="Times New Roman" w:hAnsi="Times New Roman" w:cs="Times New Roman"/>
          <w:color w:val="000000"/>
        </w:rPr>
        <w:t xml:space="preserve"> Igor </w:t>
      </w:r>
      <w:proofErr w:type="spellStart"/>
      <w:r>
        <w:rPr>
          <w:rFonts w:ascii="Times New Roman" w:hAnsi="Times New Roman" w:cs="Times New Roman"/>
          <w:color w:val="000000"/>
        </w:rPr>
        <w:t>Nikolaevich</w:t>
      </w:r>
      <w:proofErr w:type="spellEnd"/>
      <w:r>
        <w:rPr>
          <w:rFonts w:ascii="Times New Roman" w:hAnsi="Times New Roman" w:cs="Times New Roman"/>
          <w:color w:val="000000"/>
        </w:rPr>
        <w:t>, collectively referred to as the “second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participants”.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joint venture was to participate in mining, refining, smelting, trading, importing and exporting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commission business jointly in gold, silver, diamonds, precious and </w:t>
      </w:r>
      <w:r w:rsidR="00E05680">
        <w:rPr>
          <w:rFonts w:ascii="Times New Roman" w:hAnsi="Times New Roman" w:cs="Times New Roman"/>
          <w:color w:val="000000"/>
        </w:rPr>
        <w:t>semi-precious</w:t>
      </w:r>
      <w:r>
        <w:rPr>
          <w:rFonts w:ascii="Times New Roman" w:hAnsi="Times New Roman" w:cs="Times New Roman"/>
          <w:color w:val="000000"/>
        </w:rPr>
        <w:t xml:space="preserve"> metals in Uganda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worldwide. The venture was also to engage in importing, exporting, distributing </w:t>
      </w:r>
      <w:proofErr w:type="spellStart"/>
      <w:r>
        <w:rPr>
          <w:rFonts w:ascii="Times New Roman" w:hAnsi="Times New Roman" w:cs="Times New Roman"/>
          <w:color w:val="000000"/>
        </w:rPr>
        <w:t>jewellery</w:t>
      </w:r>
      <w:proofErr w:type="spellEnd"/>
      <w:r>
        <w:rPr>
          <w:rFonts w:ascii="Times New Roman" w:hAnsi="Times New Roman" w:cs="Times New Roman"/>
          <w:color w:val="000000"/>
        </w:rPr>
        <w:t>, wholesale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like metals.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stated in the “joint venture” that the second participants were to provide US$ 42 000 as a token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deposit to the first participants, on the signing of the agreement, which was refundable on termination of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agreement. It was also one of the terms of the “joint venture” that the first participant was to appoint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second participants as directors of 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Limited. It also contained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clause for automatic determination if US$ 42 000 was not paid within the stipulated time.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“joint venture” agreement was admitted in evidence as exhibit PE1 at the trial. It is one of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on which the action was founded.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Though it was stated in exhibit PE1 that the “second participants” would provide the </w:t>
      </w:r>
      <w:proofErr w:type="spellStart"/>
      <w:r>
        <w:rPr>
          <w:rFonts w:ascii="Times New Roman" w:hAnsi="Times New Roman" w:cs="Times New Roman"/>
          <w:color w:val="000000"/>
        </w:rPr>
        <w:t>finance</w:t>
      </w:r>
      <w:proofErr w:type="gramStart"/>
      <w:r>
        <w:rPr>
          <w:rFonts w:ascii="Times New Roman" w:hAnsi="Times New Roman" w:cs="Times New Roman"/>
          <w:color w:val="000000"/>
        </w:rPr>
        <w:t>,in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actual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 the respondent became the financier. The others were merely to represent his interest.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After the execution of exhibit PE1, the names of 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Limited was changed to “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MKP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Limited” and the respondents and his two partners were made directors.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was not able to remit the US$ 42 000 to the first participant as agreed. Instead, on 6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August 1994, the respondent instructed the </w:t>
      </w:r>
      <w:proofErr w:type="spellStart"/>
      <w:r>
        <w:rPr>
          <w:rFonts w:ascii="Times New Roman" w:hAnsi="Times New Roman" w:cs="Times New Roman"/>
          <w:color w:val="000000"/>
        </w:rPr>
        <w:t>Midlantic</w:t>
      </w:r>
      <w:proofErr w:type="spellEnd"/>
      <w:r>
        <w:rPr>
          <w:rFonts w:ascii="Times New Roman" w:hAnsi="Times New Roman" w:cs="Times New Roman"/>
          <w:color w:val="000000"/>
        </w:rPr>
        <w:t xml:space="preserve"> National Bank, Moscow, to transfer by wire to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Standard Chartered Bank, Uganda to 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Limited account number 320/90/11868/000, US$ 20 000.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was received and credited to the account of 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Limited on 14 July 1994, (</w:t>
      </w:r>
      <w:r>
        <w:rPr>
          <w:rFonts w:ascii="Times New Roman" w:hAnsi="Times New Roman" w:cs="Times New Roman"/>
          <w:i/>
          <w:iCs/>
          <w:color w:val="000000"/>
        </w:rPr>
        <w:t xml:space="preserve">see </w:t>
      </w:r>
      <w:r>
        <w:rPr>
          <w:rFonts w:ascii="Times New Roman" w:hAnsi="Times New Roman" w:cs="Times New Roman"/>
          <w:color w:val="000000"/>
        </w:rPr>
        <w:t>exhibit PE 4 and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 11). Then sometime in July 1994, the respondent received a handwritten fax message (exhibit P8) in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he was informed of the prospects of the “joint venture”, the possibility of starting a banking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business, and the need to purchase land for the construction of a refinery plant. In addition, whoever sent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fax, invited the respondent to invest US$ 200 000, stating that that kind of investment would fetch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US$ 20 to 25 million a year. The respondent also received two certificates in connection with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business. These were a license from the Ministry of Commerce, Co-operatives and Marketing (exhibit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PE5), and one from the Ministry of Land and Natural Resources (exhibit PE7).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the respondent, exhibit PE8 was sent by the first appellant which the latter denied. At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trial, the authorship and authenticity of exhibit PE8 were contested strenuously by the appellants.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receipt of exhibit PE8 and the documents mentioned above, the respondent became convinced that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business prospects were good, and so he decided to send the US$ 200 000 asked for in exhibit PE8. In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August, he instructed </w:t>
      </w:r>
      <w:proofErr w:type="spellStart"/>
      <w:r>
        <w:rPr>
          <w:rFonts w:ascii="Times New Roman" w:hAnsi="Times New Roman" w:cs="Times New Roman"/>
          <w:color w:val="000000"/>
        </w:rPr>
        <w:t>Deanbale</w:t>
      </w:r>
      <w:proofErr w:type="spellEnd"/>
      <w:r>
        <w:rPr>
          <w:rFonts w:ascii="Times New Roman" w:hAnsi="Times New Roman" w:cs="Times New Roman"/>
          <w:color w:val="000000"/>
        </w:rPr>
        <w:t xml:space="preserve"> Investment Company Limited of Singapore to send US$ 200 000 to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Shikam</w:t>
      </w:r>
      <w:proofErr w:type="spellEnd"/>
      <w:r>
        <w:rPr>
          <w:rFonts w:ascii="Times New Roman" w:hAnsi="Times New Roman" w:cs="Times New Roman"/>
          <w:color w:val="000000"/>
        </w:rPr>
        <w:t xml:space="preserve"> MPK Ltd Account 320/90/1186/000 held with Standard Chartered Bank Ltd, Kampala Branch.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Later the respondent received confirmation of the transfer from </w:t>
      </w:r>
      <w:proofErr w:type="spellStart"/>
      <w:r>
        <w:rPr>
          <w:rFonts w:ascii="Times New Roman" w:hAnsi="Times New Roman" w:cs="Times New Roman"/>
          <w:color w:val="000000"/>
        </w:rPr>
        <w:t>Deanbale</w:t>
      </w:r>
      <w:proofErr w:type="spellEnd"/>
      <w:r>
        <w:rPr>
          <w:rFonts w:ascii="Times New Roman" w:hAnsi="Times New Roman" w:cs="Times New Roman"/>
          <w:color w:val="000000"/>
        </w:rPr>
        <w:t xml:space="preserve"> Investment Company Limited.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 exhibit PE10. The value date of the TT was said to be 19 August 1994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did not acknowledge receipt of that money. It was, </w:t>
      </w:r>
      <w:proofErr w:type="spellStart"/>
      <w:r>
        <w:rPr>
          <w:rFonts w:ascii="Times New Roman" w:hAnsi="Times New Roman" w:cs="Times New Roman"/>
          <w:color w:val="000000"/>
        </w:rPr>
        <w:t>Ponsov</w:t>
      </w:r>
      <w:proofErr w:type="spellEnd"/>
      <w:r>
        <w:rPr>
          <w:rFonts w:ascii="Times New Roman" w:hAnsi="Times New Roman" w:cs="Times New Roman"/>
          <w:color w:val="000000"/>
        </w:rPr>
        <w:t xml:space="preserve"> who sent a fax to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that the money had been received. In his testimony, the respondent, however, insisted that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appellant confirmed on telephone that he had received the money.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Thereafter, there was a complete breakdown in communication between the respondent and the first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appellant. This state of affairs continued for </w:t>
      </w:r>
      <w:proofErr w:type="spellStart"/>
      <w:r>
        <w:rPr>
          <w:rFonts w:ascii="Times New Roman" w:hAnsi="Times New Roman" w:cs="Times New Roman"/>
          <w:color w:val="000000"/>
        </w:rPr>
        <w:t>sometime</w:t>
      </w:r>
      <w:proofErr w:type="spellEnd"/>
      <w:r>
        <w:rPr>
          <w:rFonts w:ascii="Times New Roman" w:hAnsi="Times New Roman" w:cs="Times New Roman"/>
          <w:color w:val="000000"/>
        </w:rPr>
        <w:t>. The respondent became apprehensive and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concluded that something fishy was happening in Uganda. He travelled to Uganda in October 1994 and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met with the first appellant. When he failed to obtain satisfactory explanation concerning the business,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 meeting in November 1994 was arranged between the respondent and his lawyers and the first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and his lawyers to negotiate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amicable settlement. When that broke down, the respondent instructed his lawyers to take action, and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went back to Moscow.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Later on, the respondent received from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Shonubi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and Company Advocates, the first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advocates, exhibit P12 informing him that the first appellant was prepared to pay to him US$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161 623, in total satisfaction of his claim. This letter was marked “without prejudice”. This amount of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money was never received by the respondent. The only money the respondent received was US$ 26 000,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he was not informed of the purpose for which it was sent to him. It was contended by the respondent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appellant undertook to make him and his colleague’s shareholders in the company 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MKP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 to reflect their business participation, but he did not do so. The company was registered in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names of the first appellant and his wife. The respondent contended that the failure of the first appellant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make him and his </w:t>
      </w:r>
      <w:proofErr w:type="gramStart"/>
      <w:r>
        <w:rPr>
          <w:rFonts w:ascii="Times New Roman" w:hAnsi="Times New Roman" w:cs="Times New Roman"/>
          <w:color w:val="000000"/>
        </w:rPr>
        <w:t>colleagues</w:t>
      </w:r>
      <w:proofErr w:type="gramEnd"/>
      <w:r>
        <w:rPr>
          <w:rFonts w:ascii="Times New Roman" w:hAnsi="Times New Roman" w:cs="Times New Roman"/>
          <w:color w:val="000000"/>
        </w:rPr>
        <w:t xml:space="preserve"> shareholders in 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MKP appellants represented to him that the joint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venture would fetch him a profit of 20 or 25 million US dollars per annum. It was on the strength of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above representation that he paid to them US$ 200 000, that representation turned out to be untrue.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respondent, therefore, sued the appellants jointly and severally in High Court, claiming: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US$ 220 000, or its equivalent in Ugandan currency, being money had and received to the use of the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respondent by the appellants, plus interest of 30 percent;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General damages for misrepresentation;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General damages for breach of contract; and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Costs of the suit.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denied the respondent’s claim and, in particular averred that: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they never made any representations as alleged;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ii) they admitted the joint venture agreement but denied that it was entered into as a result of any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representation;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(iii) they never promised to make the respondent and his two colleagues shareholders in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Shivam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MKP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Limited and consequently never breached any contract;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(iv) change of name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Shivam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Ltd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Shivam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MKP Limited was not made to reflect the joint venture;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v) they never received any monies from the respondent and put it to their own use as alleged and that the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offer to pay any money was made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gratia </w:t>
      </w:r>
      <w:r>
        <w:rPr>
          <w:rFonts w:ascii="Times New Roman" w:hAnsi="Times New Roman" w:cs="Times New Roman"/>
          <w:color w:val="000000"/>
          <w:sz w:val="20"/>
          <w:szCs w:val="20"/>
        </w:rPr>
        <w:t>and not with intention of admitting liability.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At the trial of the suit, four issues were framed for determination: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whether first appellant made false representation to the respondent, on the strength of which he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remitted US$ 200 000.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appellants received US$ 220 000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whether the appellants breached the contract entered into as a result of the representation, and;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remedies, if any.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trial Judge answered all the issues in the positive and entered judgment against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jointly and severally, as follows: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appellants to refund US$ 194 000 to the respondent;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general damages assessed at US$ 275 000 for breach of contract and/or misrepresentation;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interest of 6 percent on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from August 1994 to 2000 and on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from date of judgment till payment in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full;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costs as taxed.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appellants’ appeal to the Court of Appeal against the High Court decision was partially successful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court held that: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there was no breach of contract and the award of general damages of US$ 275 000 and costs were set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aside;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ii) judgment was entered for the respondent in the sum of US$ 184 000 as money had and received with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interest, at the rate of 20 percent from August 1994 till payment in full and;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(iii) an award of half of the costs in both the Court of Appeal and those in the High Court.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were dissatisfied with that judgment, hence this appeal.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Five grounds of appeal as set out in the memorandum of appeal are:</w:t>
      </w:r>
      <w:r w:rsidR="00E05680">
        <w:rPr>
          <w:rFonts w:ascii="Times New Roman" w:hAnsi="Times New Roman" w:cs="Times New Roman"/>
          <w:color w:val="000000"/>
        </w:rPr>
        <w:t xml:space="preserve"> </w:t>
      </w:r>
    </w:p>
    <w:p w:rsidR="00E05680" w:rsidRDefault="00541C2F" w:rsidP="00541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the Court of Appeal erred in law and fact when they found that the learned trial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Judge had properly found the first appellant to be the author of exhibit PE8.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E05680" w:rsidRDefault="00541C2F" w:rsidP="00541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the Court of Appeal erred in law and fact when they found that the appellants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admitted receipt of US$ 200 000 and offered to pay US$ 161 623.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E05680" w:rsidRDefault="00541C2F" w:rsidP="00541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the Court of Appeal erred both in law and fact when they found that the US$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200 000 is refundable as money had and received.</w:t>
      </w:r>
    </w:p>
    <w:p w:rsidR="00E05680" w:rsidRDefault="00E05680" w:rsidP="00541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41C2F"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541C2F"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the Court of Appeal erred both in law and fact when they found that the first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41C2F">
        <w:rPr>
          <w:rFonts w:ascii="Times New Roman" w:hAnsi="Times New Roman" w:cs="Times New Roman"/>
          <w:color w:val="000000"/>
          <w:sz w:val="20"/>
          <w:szCs w:val="20"/>
        </w:rPr>
        <w:t>appellant is jointly liable to refund the respondent’s money.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541C2F" w:rsidRDefault="00541C2F" w:rsidP="00541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the Court of Appeal erred in law when they found that an interest rate of 20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percent per annum was payment to the respondent.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parties filed written submissions under rule 93 of the Rules of the Court. The appellants’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submissions were filed by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Kampala Associated Advocates; and those of the respondent were filed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Nagwala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Rezida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Company Advocates.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appellant’s learned Counsel argued ground one of the appeal separately and first, grounds two,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three and four together, and ground five separately. </w:t>
      </w:r>
      <w:r w:rsidR="00E05680">
        <w:rPr>
          <w:rFonts w:ascii="Times New Roman" w:hAnsi="Times New Roman" w:cs="Times New Roman"/>
          <w:color w:val="000000"/>
        </w:rPr>
        <w:t>Underground</w:t>
      </w:r>
      <w:r>
        <w:rPr>
          <w:rFonts w:ascii="Times New Roman" w:hAnsi="Times New Roman" w:cs="Times New Roman"/>
          <w:color w:val="000000"/>
        </w:rPr>
        <w:t xml:space="preserve"> one, the appellant’s learned Counsel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trial court and the Court of Appeal for respectively finding that exhibit PE8 was authored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first appellant. The learned Counsel contended that the first appellant having denied writing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fax letter, the procedure under section 66 of the Evidence Act, for proving that he had written letter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have been followed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He also contended that sections 45 and 72(1) of the same Act should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invoked to compare the handwriting in exhibit PE8 with any other document known to have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written by the first appellant;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opposition to the appeal, the respondent’s learned Counsel submitted, </w:t>
      </w:r>
      <w:r w:rsidR="00E05680">
        <w:rPr>
          <w:rFonts w:ascii="Times New Roman" w:hAnsi="Times New Roman" w:cs="Times New Roman"/>
          <w:color w:val="000000"/>
        </w:rPr>
        <w:t>underground</w:t>
      </w:r>
      <w:r>
        <w:rPr>
          <w:rFonts w:ascii="Times New Roman" w:hAnsi="Times New Roman" w:cs="Times New Roman"/>
          <w:color w:val="000000"/>
        </w:rPr>
        <w:t xml:space="preserve"> one of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that the trial court and the Court of Appeal gave reasons for their findings that it was the first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who authored exhibit PE8. He contended that both courts found that he had lied as a witness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did not send the fax letter. The two courts were alive to the fact that there was no evidence from a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handwriting expert in this regard. </w:t>
      </w:r>
      <w:proofErr w:type="spellStart"/>
      <w:r>
        <w:rPr>
          <w:rFonts w:ascii="Times New Roman" w:hAnsi="Times New Roman" w:cs="Times New Roman"/>
          <w:color w:val="000000"/>
        </w:rPr>
        <w:t>Berko</w:t>
      </w:r>
      <w:proofErr w:type="spellEnd"/>
      <w:r>
        <w:rPr>
          <w:rFonts w:ascii="Times New Roman" w:hAnsi="Times New Roman" w:cs="Times New Roman"/>
          <w:color w:val="000000"/>
        </w:rPr>
        <w:t xml:space="preserve"> JA, who wrote the lead judgment, referred to certain factors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corroborated the hypothesis that exhibit PE8 came from the first appellant and from nobody else.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included the first appellant’s experience in </w:t>
      </w:r>
      <w:proofErr w:type="spellStart"/>
      <w:r>
        <w:rPr>
          <w:rFonts w:ascii="Times New Roman" w:hAnsi="Times New Roman" w:cs="Times New Roman"/>
          <w:color w:val="000000"/>
        </w:rPr>
        <w:t>jewellery</w:t>
      </w:r>
      <w:proofErr w:type="spellEnd"/>
      <w:r>
        <w:rPr>
          <w:rFonts w:ascii="Times New Roman" w:hAnsi="Times New Roman" w:cs="Times New Roman"/>
          <w:color w:val="000000"/>
        </w:rPr>
        <w:t xml:space="preserve"> that was mentioned in exhibit PE8 and in his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testimony; the first appellant’s experience of eight years in Uganda that was mentioned in the fax letter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 his testimony; and the specific request for US$ 200 000 made in the fax letter from the respondent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 sum of money sent by the respondent. US$ 200 000 was not a magic figure, nor was it, baseless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accidental. It was the result of a specific demand for purposes specified in the fax letter. The demand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came from the first appellant. Regarding the provisions of sections 45, 72 and 66 of the Evidence Act,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contended that they do not exclude other kind of evidence for proof of disputed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handwriting or signature. Finally, there was a departure from the first appellant’s pleadings that he never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received US$ 200 000. Instead, he testified that he had received US$ 200 000 from the respondent and 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attempted to account for it. Departure by a party’s evidence from his or her pleadings is a good ground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rejecting the evidence as was held in the cases of </w:t>
      </w:r>
      <w:r>
        <w:rPr>
          <w:rFonts w:ascii="Times New Roman" w:hAnsi="Times New Roman" w:cs="Times New Roman"/>
          <w:i/>
          <w:iCs/>
          <w:color w:val="000000"/>
        </w:rPr>
        <w:t xml:space="preserve">AW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Biteremo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Damascus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Munyanda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number 15 of 1991 (SCU) (UR)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Interfreight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Forwarders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>Ltd v East African Development Bank</w:t>
      </w:r>
      <w:r w:rsidR="00E0568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 number 33 [1992] (SCU) (UR).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lead judgment in the Court of Appeal, with which the other two members of the court agreed,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Berko</w:t>
      </w:r>
      <w:proofErr w:type="spellEnd"/>
      <w:r>
        <w:rPr>
          <w:rFonts w:ascii="Times New Roman" w:hAnsi="Times New Roman" w:cs="Times New Roman"/>
          <w:color w:val="000000"/>
        </w:rPr>
        <w:t xml:space="preserve"> JA upheld the findings of the learned trial Judge that the first appellant authored the fax letter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exhibit, PE8. He said this: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now move to exhibit PE8. This was a handwritten fax message that originated from Uganda. The owner of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fax machine has not been identified. According to the respondent, it was sent by the first appellant. The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first appellant denies it. The identity of its author became a live issue at the trial though it was not specifically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set down as one of the issues. The learned trial Judge was aware of it and considered it. There was no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handwriting expert opinion on it. The learned trial Judge relied on evidence put before him to determine its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author. He first considered the credibility of the parties. He found the respondent more credible. The first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 never impressed him as a credible witness, and found him to be a liar. Was the judge right when he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said the first appellant was a liar? I think he was right. I need only to refer to one instance to prove my point.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receipt of exhibit PE8 the respondent sent a telegraphic transfer of US$ 200 000 on 22 August 1994 to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Shivam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MKP Limited, account number 32/90/11869/000 held at Standard Chartered Bank Kampala. The first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 was a signatory to that account. This money was received by the bank and credited to the above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account on 23 August 1994. The evidence of DW 3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Ndugwa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Christoper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Nathan, the auditor and accountant of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appellants, shows that the sum of US$ 200 000 which was a remittance from Russia, reflected on the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account of first appellant. On receipt of the amount of the US$ 200 000, US$ 150 000 was withdrawn from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account on 23 August 1994 and was used to purchase shillings from the Crane Bank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realised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138 450 000. The sum was paid into the shillings account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Shivam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MKP Limited in which the first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appellant never acknowledged the receipt of this money to the respondent. In the written statement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filed on 12 September 1997, he denied the receipt of that money either by himself 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Shivam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MKP Limited.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judge was, therefore, right when he said first appellant was a liar.”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Rezida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submitted that the matters contained in exhibit PE8 are matters peculiarly within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knowledge of the first appellant.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Kabatsi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countered this argument and argued that </w:t>
      </w:r>
      <w:proofErr w:type="spellStart"/>
      <w:r>
        <w:rPr>
          <w:rFonts w:ascii="Times New Roman" w:hAnsi="Times New Roman" w:cs="Times New Roman"/>
          <w:color w:val="000000"/>
        </w:rPr>
        <w:t>Ponsov</w:t>
      </w:r>
      <w:proofErr w:type="spellEnd"/>
      <w:r>
        <w:rPr>
          <w:rFonts w:ascii="Times New Roman" w:hAnsi="Times New Roman" w:cs="Times New Roman"/>
          <w:color w:val="000000"/>
        </w:rPr>
        <w:t xml:space="preserve"> was also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aware of those facts. The following excerpts appear in the Fax message: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“As 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Nikolai’s explanation to you, if US$ 200 000 are available we can take off by exporting products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straight away.” The Nikolai here 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Ponsov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referred to by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Kabatsi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If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Ponsov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the author he could not have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made that statement. This rules out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Ponsov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the author. Again the language in exhibit PE8 could not have come from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Ponsov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His endorsement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exhibit PE8 states “I can tell you all this is thru.” The language and spelling of “True” as “Thru” show that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he had no command of English language. This also rules out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Ponsov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the author.”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judge was right when he so found. I also 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Rezida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matters contained in exhibit PE8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matters that also point conclusively to the fact that the first appellant was the author. I need to refer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only to a few of them. The author talks about his 8 </w:t>
      </w:r>
      <w:r w:rsidR="00E05680">
        <w:rPr>
          <w:rFonts w:ascii="Times New Roman" w:hAnsi="Times New Roman" w:cs="Times New Roman"/>
          <w:color w:val="000000"/>
        </w:rPr>
        <w:t>years’ experience</w:t>
      </w:r>
      <w:r>
        <w:rPr>
          <w:rFonts w:ascii="Times New Roman" w:hAnsi="Times New Roman" w:cs="Times New Roman"/>
          <w:color w:val="00000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</w:rPr>
        <w:t>jewellery</w:t>
      </w:r>
      <w:proofErr w:type="spellEnd"/>
      <w:r>
        <w:rPr>
          <w:rFonts w:ascii="Times New Roman" w:hAnsi="Times New Roman" w:cs="Times New Roman"/>
          <w:color w:val="000000"/>
        </w:rPr>
        <w:t xml:space="preserve"> business. The first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testified that he came to Uganda on 23 January 1978. That was when he started business. 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incorporated first company called Pickups – International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 xml:space="preserve">). The second was 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Limited, which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incorporated in 1989. This company dealt in precious stones. He obtained the first license on 1 July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1991 to do goldsmith business. This company had a showroom and office at the International Conference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Centre and was dealing in gold and diamonds. I have no doubt that it was the first appellant who was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talking about his 8 </w:t>
      </w:r>
      <w:proofErr w:type="spellStart"/>
      <w:r>
        <w:rPr>
          <w:rFonts w:ascii="Times New Roman" w:hAnsi="Times New Roman" w:cs="Times New Roman"/>
          <w:color w:val="000000"/>
        </w:rPr>
        <w:t>years experience</w:t>
      </w:r>
      <w:proofErr w:type="spellEnd"/>
      <w:r>
        <w:rPr>
          <w:rFonts w:ascii="Times New Roman" w:hAnsi="Times New Roman" w:cs="Times New Roman"/>
          <w:color w:val="00000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</w:rPr>
        <w:t>jewellery</w:t>
      </w:r>
      <w:proofErr w:type="spellEnd"/>
      <w:r>
        <w:rPr>
          <w:rFonts w:ascii="Times New Roman" w:hAnsi="Times New Roman" w:cs="Times New Roman"/>
          <w:color w:val="000000"/>
        </w:rPr>
        <w:t xml:space="preserve"> business. In court he confirmed it.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Next is the land that was purchased along Entebbe Road by the first appellant, and registered in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name of 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MKP Limited. This land was not mentioned in exhibit PE1, but it was referred to in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PE8. This is what PE3 said about the land: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have completed location of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land.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. .The location of the land is so prime and is on Entebbe Road. This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the very land that was bought.”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regards the location of the office at the Standard Bank, this is what appears in PE8: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“We were originally planning to move to Green Land Bank but we have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planed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move to Standard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Chartered Bank. Please do not object to this because of so many good reasons.” It continued to give those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good reasons. This was not mentioned in PE1. Standard Chartered Bank building was the place that was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rented for the second appellant company. These instances show that the first appellant and nobody else was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author of PE8.”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my view, the Court of Appeal’s findings, set out above cannot be faulted. As the first appellate court,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re-evaluated the evidence in the case and upheld the trial court’s finding that the first appellant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authored PE8. The first ground of appeal should, therefore, fail.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appellant’s counsel next argued grounds 2, 3 and 4 together. They submitted that the principle of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money had and received is not applicable to the instant case. According to </w:t>
      </w:r>
      <w:r>
        <w:rPr>
          <w:rFonts w:ascii="Times New Roman" w:hAnsi="Times New Roman" w:cs="Times New Roman"/>
          <w:i/>
          <w:iCs/>
          <w:color w:val="000000"/>
        </w:rPr>
        <w:t>Halsbury’s Law of England</w:t>
      </w:r>
      <w:r w:rsidR="00E0568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(3ed) Volume 8, paragraph 408, page 235, the principle is that where one person has received money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another under circumstances such as in this case, he is regarded in law as having received it to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 of that other, the law implies a promise on his part or imposes an obligation upon him to make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 to the person entitled thereto. In default, the rightful owner may maintain an action for money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and received to his use. According to this authority the obligation to refund the money is imposed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the person who received it. Before determining whether US$ 200 000 was refundable as money had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received in this case, the Court of Appeal ought to have first established the person who received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money from the respondent. The learned Justices of the Court of Appeal found that there was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overwhelming evidence that the appellants received the money. The appellant’s learned Counsel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justices of appeal erred to have made that finding. There was no evidence, whatsoever,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record that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appellant ever received any money from the respondent. Instead, there is overwhelming evidence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second appellant received the money. According to the respondent’s evidence he sent the sum of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US$ 200 000 to the account of “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Limited” The money was sent by a fax message from Singapore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16 August 1994 (exhibit PE9). Further, according to exhibit PE12, it was the second appellant,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Shivam</w:t>
      </w:r>
      <w:proofErr w:type="spellEnd"/>
      <w:r>
        <w:rPr>
          <w:rFonts w:ascii="Times New Roman" w:hAnsi="Times New Roman" w:cs="Times New Roman"/>
          <w:color w:val="000000"/>
        </w:rPr>
        <w:t xml:space="preserve"> MKP Limited, which made the offer without prejudice, to refund the US$ 161 623.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appellant is not mentioned in the offer. Learned counsel contended that according to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principle of independent legal personality in </w:t>
      </w:r>
      <w:r>
        <w:rPr>
          <w:rFonts w:ascii="Times New Roman" w:hAnsi="Times New Roman" w:cs="Times New Roman"/>
          <w:i/>
          <w:iCs/>
          <w:color w:val="000000"/>
        </w:rPr>
        <w:t xml:space="preserve">Solomon v Solomon and Company </w:t>
      </w:r>
      <w:r>
        <w:rPr>
          <w:rFonts w:ascii="Times New Roman" w:hAnsi="Times New Roman" w:cs="Times New Roman"/>
          <w:color w:val="000000"/>
        </w:rPr>
        <w:t>[1897] AC 22, the first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is separate from the second appellant. In the instant case as it was MKP Limited an independent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legal person which received the money, there was no basis for the Court of Appeals finding that it was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appellant and the second appellant who jointly received the money from the respondent.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further submitted that the purpose for which the money was received was also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relevant to the application of the principle of money had and received. In the instant case, it was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to ascertain the purpose for which the money was remitted. The learned Justices of Appeal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relied on exhibit PE8 to establish the purpose, for which the money was remitted, namely the business of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appellant under the “joint venture” scheme. Learned counsel submitted that the learned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Justices of Appeal erred in doing so. Having found, as they did, that the “joint venture” had automatically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terminated, the purpose for which the remission of the money was made could only be ascertained from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conduct of the parties. Exhibit DE11 clearly </w:t>
      </w:r>
      <w:proofErr w:type="spellStart"/>
      <w:r>
        <w:rPr>
          <w:rFonts w:ascii="Times New Roman" w:hAnsi="Times New Roman" w:cs="Times New Roman"/>
          <w:color w:val="000000"/>
        </w:rPr>
        <w:t>summarises</w:t>
      </w:r>
      <w:proofErr w:type="spellEnd"/>
      <w:r>
        <w:rPr>
          <w:rFonts w:ascii="Times New Roman" w:hAnsi="Times New Roman" w:cs="Times New Roman"/>
          <w:color w:val="000000"/>
        </w:rPr>
        <w:t xml:space="preserve"> that purpose. The document indicated that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sum of US$ 200 000 was remitted for trade and development of the second appellant. As stated in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exhibit PE8 the purpose was to generate money through weekly profits out of </w:t>
      </w:r>
      <w:proofErr w:type="spellStart"/>
      <w:r>
        <w:rPr>
          <w:rFonts w:ascii="Times New Roman" w:hAnsi="Times New Roman" w:cs="Times New Roman"/>
          <w:color w:val="000000"/>
        </w:rPr>
        <w:t>jewellery</w:t>
      </w:r>
      <w:proofErr w:type="spellEnd"/>
      <w:r>
        <w:rPr>
          <w:rFonts w:ascii="Times New Roman" w:hAnsi="Times New Roman" w:cs="Times New Roman"/>
          <w:color w:val="000000"/>
        </w:rPr>
        <w:t xml:space="preserve"> to be able to open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bank. Learned counsel contended that the banking business was never the second appellant’s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contemplated business. It was the first appellant’s calculated misrepresentation.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opposition to these grounds of appeal the respondent’s learned Counsel submitted that, as could be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gathered from the first appellant’s representation to the respondent on how he used the money, the money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intended for the business of the second appellant. Learned counsel disagreed with the contention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second appellant’s business merely turned out to be bad investments, which could not be blamed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anybody.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evidence to support such allegation. In his view, this was a mere scheme by the first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to unjustifiably enrich himself by using false </w:t>
      </w:r>
      <w:proofErr w:type="spellStart"/>
      <w:r>
        <w:rPr>
          <w:rFonts w:ascii="Times New Roman" w:hAnsi="Times New Roman" w:cs="Times New Roman"/>
          <w:color w:val="000000"/>
        </w:rPr>
        <w:t>pretences</w:t>
      </w:r>
      <w:proofErr w:type="spellEnd"/>
      <w:r>
        <w:rPr>
          <w:rFonts w:ascii="Times New Roman" w:hAnsi="Times New Roman" w:cs="Times New Roman"/>
          <w:color w:val="000000"/>
        </w:rPr>
        <w:t xml:space="preserve"> to do so. In his testimony, the first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said that all the decisions of the company were made by himself and his wife. The learned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contended that he should, therefore, be held liable for refunding the respondent’s money.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respondent’s learned Counsel further submitted that the first appellant was estopped from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denying responsibility for refund of the appellant’s US$ 200 000. It is trite law that where one party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makes another to believe a set of facts and the other acts on such representation, to his detriment,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equitable estoppel arises in favour of the party to whom the misrepresentation was made. For this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respondent’s learned Counsel relied on </w:t>
      </w:r>
      <w:r>
        <w:rPr>
          <w:rFonts w:ascii="Times New Roman" w:hAnsi="Times New Roman" w:cs="Times New Roman"/>
          <w:i/>
          <w:iCs/>
          <w:color w:val="000000"/>
        </w:rPr>
        <w:t xml:space="preserve">Halsbury’s Law of England </w:t>
      </w:r>
      <w:r>
        <w:rPr>
          <w:rFonts w:ascii="Times New Roman" w:hAnsi="Times New Roman" w:cs="Times New Roman"/>
          <w:color w:val="000000"/>
        </w:rPr>
        <w:t>(3ed) Volume 15 paragraphs 334 and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340;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Nurdin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Bandali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Lambank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Tanganyika Ltd</w:t>
      </w:r>
      <w:r w:rsidR="00E0568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[1963] EA 304 at 318 and 319; and </w:t>
      </w:r>
      <w:r>
        <w:rPr>
          <w:rFonts w:ascii="Times New Roman" w:hAnsi="Times New Roman" w:cs="Times New Roman"/>
          <w:i/>
          <w:iCs/>
          <w:color w:val="000000"/>
        </w:rPr>
        <w:t xml:space="preserve">Century Automobiles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Hurchings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Bienois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</w:t>
      </w:r>
      <w:r>
        <w:rPr>
          <w:rFonts w:ascii="Times New Roman" w:hAnsi="Times New Roman" w:cs="Times New Roman"/>
          <w:color w:val="000000"/>
        </w:rPr>
        <w:t>[1965] EA, 304 at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313.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this point, </w:t>
      </w:r>
      <w:proofErr w:type="spellStart"/>
      <w:r>
        <w:rPr>
          <w:rFonts w:ascii="Times New Roman" w:hAnsi="Times New Roman" w:cs="Times New Roman"/>
          <w:color w:val="000000"/>
        </w:rPr>
        <w:t>Berko</w:t>
      </w:r>
      <w:proofErr w:type="spellEnd"/>
      <w:r>
        <w:rPr>
          <w:rFonts w:ascii="Times New Roman" w:hAnsi="Times New Roman" w:cs="Times New Roman"/>
          <w:color w:val="000000"/>
        </w:rPr>
        <w:t xml:space="preserve"> JA held: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“With regard to the US$ 200 000, there is overwhelming evidence that it was received by the appellants. They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even offered to pay US$ 161 623, to settle it. They are therefore liable to refund that amount as money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and received. This should, however, be reduced by the US$ 26 000 that was sent to the respondent. That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would have a balance of US$ 184 000 . . . The judge was right when he ordered the appellants to refund the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US$ 184 000. It is not correct as stated in ground two that the order for refund was against the first appellant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alone.”</w:t>
      </w:r>
      <w:r w:rsidR="00E0568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my considered opinion that in the circumstances of this case the learned Justices of Appeal were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justified in upholding the findings of the trial court that the appellants had admitted receipt of US$ 200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000 and offered to pay US$ 161 623; that the said sum of money is refundable by the first and second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as money had and received; and that the first and second appellants are jointly liable to refund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respondent’s money. Grounds 2, 3 and 4 of the appeal should therefore fail.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ground 5 of the appeal, the appellant’s learned Counsel submitted that the learned Justices of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erred when they substituted the rate of interest of 20 percent for the rate of 6 percent which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trial court had awarded. He contended that the principle to be applied is that an award of interest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discretionary. The basis of an award of interest is that the defendant had kept and used the plaintiff’s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money for his personal needs and therefore ought to compensate the plaintiff for it. 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Sietco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Noble</w:t>
      </w:r>
      <w:r w:rsidR="00E0568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Builders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Ltd </w:t>
      </w:r>
      <w:r>
        <w:rPr>
          <w:rFonts w:ascii="Times New Roman" w:hAnsi="Times New Roman" w:cs="Times New Roman"/>
          <w:color w:val="000000"/>
        </w:rPr>
        <w:t>Supreme Court civil appeal number 31 of 1995, in which the principle in the case of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Hanbutts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’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Plasticine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v Wayne, Tank and Pump </w:t>
      </w:r>
      <w:r>
        <w:rPr>
          <w:rFonts w:ascii="Times New Roman" w:hAnsi="Times New Roman" w:cs="Times New Roman"/>
          <w:color w:val="000000"/>
        </w:rPr>
        <w:t>[1970] 1 QB 447 was referred to with approval. In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instant case, the learned Justices of Appeal found that the respondent did not allow the business to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operate for a period of at least one year for the profits to be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>. Further, the money was remitted by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respondent for a business in which he was a participant. Accordingly, the respondent was not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deprived of his money to warrant the award of 20 percent interest per annum. In the circumstances,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contended that the learned Justices of Appeal applied wrong principles in interfering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trial court’s award of 6 percent and awarded 20 percent without stating the basis of the interest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rate, especially in view of the fact that the transaction was in dollars.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respondents’ learned Counsel did not say anything about ground five of the appeal.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considering what rate of interest the respondent should have been awarded in the instant case, I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 that the principle applied by this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Sietco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Noble Builders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Ltd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to the effect that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a matter of the Court’s discretion is applicable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The basis of awards of interest is that the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has taken and used the plaintiff’s money and benefited. Consequently, the defendant ought to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compensate the plaintiff for the money. In the instant case, the learned Justices of Appeal, rightly in my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opinion, said that the appellants had received the money for a commercial transaction. Hence the Court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rate of 6 percent was not appropriate and I agree with them. The rate of interest of 20 percent awarded by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was more appropriate. In the circumstances, ground five of the appeal should fail.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In result, I would dismiss this appeal with costs to the respondent in this Court and in the courts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below.</w:t>
      </w:r>
      <w:r w:rsidR="00E0568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 concurred in the judgment of Oder JSC</w:t>
      </w:r>
    </w:p>
    <w:p w:rsidR="00541C2F" w:rsidRDefault="00541C2F" w:rsidP="00541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541C2F" w:rsidRDefault="00541C2F" w:rsidP="00541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Rezida</w:t>
      </w:r>
      <w:proofErr w:type="spellEnd"/>
    </w:p>
    <w:p w:rsidR="00541C2F" w:rsidRDefault="00541C2F" w:rsidP="00541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66D10" w:rsidRDefault="00541C2F" w:rsidP="00541C2F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Kabatsi</w:t>
      </w:r>
      <w:proofErr w:type="spellEnd"/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2F"/>
    <w:rsid w:val="00366D10"/>
    <w:rsid w:val="00541C2F"/>
    <w:rsid w:val="00E0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2860E-18A1-4CD2-8FA3-51A84AD2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4222</Words>
  <Characters>24072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2018-07-04T20:16:00Z</dcterms:created>
  <dcterms:modified xsi:type="dcterms:W3CDTF">2018-07-11T16:24:00Z</dcterms:modified>
</cp:coreProperties>
</file>