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Siree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Lake Turkana El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Molo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Lodges Ltd</w:t>
      </w:r>
    </w:p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May 2000</w:t>
      </w:r>
    </w:p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229/98</w:t>
      </w:r>
    </w:p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63DBA" w:rsidRDefault="00E63DBA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Special damages – Loss of profits – Continuing damages – Failure to fully plead loss of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profits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Amendment of plaint required – Award of loss of profits by trial court under the head of general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 Respondent was entitled to recover special damages not pleaded.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Public Office – Abuse of – Closure of lodge by government officer – Application for damages –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officer was empowered to close the lodge – Whether the government was liable for his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63DBA" w:rsidRDefault="00D302C9" w:rsidP="00D30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SHAH JA: </w:t>
      </w:r>
      <w:r>
        <w:rPr>
          <w:rFonts w:ascii="Times New Roman" w:hAnsi="Times New Roman" w:cs="Times New Roman"/>
          <w:color w:val="000000"/>
        </w:rPr>
        <w:t xml:space="preserve">A tourist business establishment known as Lake Turkana El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Lodges Ltd,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(hereinafter referred to as “the Lodge”) was ordered closed on the orders of one R </w:t>
      </w:r>
      <w:proofErr w:type="spellStart"/>
      <w:r>
        <w:rPr>
          <w:rFonts w:ascii="Times New Roman" w:hAnsi="Times New Roman" w:cs="Times New Roman"/>
          <w:color w:val="000000"/>
        </w:rPr>
        <w:t>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Siree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then, the District Officer </w:t>
      </w:r>
      <w:proofErr w:type="spellStart"/>
      <w:r>
        <w:rPr>
          <w:rFonts w:ascii="Times New Roman" w:hAnsi="Times New Roman" w:cs="Times New Roman"/>
          <w:color w:val="000000"/>
        </w:rPr>
        <w:t>Loiyangalani</w:t>
      </w:r>
      <w:proofErr w:type="spellEnd"/>
      <w:r>
        <w:rPr>
          <w:rFonts w:ascii="Times New Roman" w:hAnsi="Times New Roman" w:cs="Times New Roman"/>
          <w:color w:val="000000"/>
        </w:rPr>
        <w:t xml:space="preserve"> Division of </w:t>
      </w:r>
      <w:proofErr w:type="spellStart"/>
      <w:r>
        <w:rPr>
          <w:rFonts w:ascii="Times New Roman" w:hAnsi="Times New Roman" w:cs="Times New Roman"/>
          <w:color w:val="000000"/>
        </w:rPr>
        <w:t>Marsabit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of Kenya, the First Appellant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(hereinafter referred to as “the DO”), on 2 April 1990, claimed that the closure was unlawful, wrongful,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arbitrary and without any valid reason. The district officer effected the closure by his letter of 2 April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1990 addressed to the manager in charge of “Turkana El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Lodge”. The reasons given by the District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for the closure of the lodge were as follows:</w:t>
      </w:r>
      <w:r w:rsidR="00D302C9">
        <w:rPr>
          <w:rFonts w:ascii="Times New Roman" w:hAnsi="Times New Roman" w:cs="Times New Roman"/>
          <w:color w:val="00000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 The proprietor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has been evading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to make payments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Marsabit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County Council: Since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1986 to date: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Annual Land rent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3 000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Regulated Licenses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Caterers License and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Boarding Lodging License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 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proprietor has also evaded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Marsabit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Trade Licenses despite the fact that some trade officers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brought the licenses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Loiyangalani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These licenses are: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Caterers B2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Regulated Retail Trade B4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Boarding and lodging B5 and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Liquor Licensing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all, the Turkana El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lodges and Hotel is being operated as class ‘D’ one yet it is supposed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a class ‘C’. For instance at this juncture, a big bottle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of beer costs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20= while an export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costs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15”.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lodge responded to the said letter of the District Officer saying that it had sent money to </w:t>
      </w:r>
      <w:proofErr w:type="spellStart"/>
      <w:r>
        <w:rPr>
          <w:rFonts w:ascii="Times New Roman" w:hAnsi="Times New Roman" w:cs="Times New Roman"/>
          <w:color w:val="000000"/>
        </w:rPr>
        <w:t>Marsabit</w:t>
      </w:r>
      <w:proofErr w:type="spellEnd"/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Commissioner (for 1988 and 1989) and that it had all the necessary licenses, the 1990 ones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being: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 1 990 Regulated Retail License B4 No 683127;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 C </w:t>
      </w:r>
      <w:proofErr w:type="spellStart"/>
      <w:r>
        <w:rPr>
          <w:rFonts w:ascii="Times New Roman" w:hAnsi="Times New Roman" w:cs="Times New Roman"/>
          <w:color w:val="000000"/>
        </w:rPr>
        <w:t>aterer’s</w:t>
      </w:r>
      <w:proofErr w:type="spellEnd"/>
      <w:r>
        <w:rPr>
          <w:rFonts w:ascii="Times New Roman" w:hAnsi="Times New Roman" w:cs="Times New Roman"/>
          <w:color w:val="000000"/>
        </w:rPr>
        <w:t xml:space="preserve"> License B2 No 72373;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 M </w:t>
      </w:r>
      <w:proofErr w:type="spellStart"/>
      <w:r>
        <w:rPr>
          <w:rFonts w:ascii="Times New Roman" w:hAnsi="Times New Roman" w:cs="Times New Roman"/>
          <w:color w:val="000000"/>
        </w:rPr>
        <w:t>iscellaneous</w:t>
      </w:r>
      <w:proofErr w:type="spellEnd"/>
      <w:r>
        <w:rPr>
          <w:rFonts w:ascii="Times New Roman" w:hAnsi="Times New Roman" w:cs="Times New Roman"/>
          <w:color w:val="000000"/>
        </w:rPr>
        <w:t xml:space="preserve"> Occupation Boarding B5 No 173034 and Lodging license;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 L </w:t>
      </w:r>
      <w:proofErr w:type="spellStart"/>
      <w:r>
        <w:rPr>
          <w:rFonts w:ascii="Times New Roman" w:hAnsi="Times New Roman" w:cs="Times New Roman"/>
          <w:color w:val="000000"/>
        </w:rPr>
        <w:t>iquor</w:t>
      </w:r>
      <w:proofErr w:type="spellEnd"/>
      <w:r>
        <w:rPr>
          <w:rFonts w:ascii="Times New Roman" w:hAnsi="Times New Roman" w:cs="Times New Roman"/>
          <w:color w:val="000000"/>
        </w:rPr>
        <w:t xml:space="preserve"> License and three other documents were to be delivered to the District Officer by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lawyers of the lodge.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lodge also showed that the Ministry of Tourism’s Hotel and Restaurant Authority had classified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 as class D Tourist lodge. The lodge responded promptly to the said letter of 2 April 1990 by its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of 5 April 1990 and gave full details of its compliance for obtaining all the requisite licenses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rates. The lodge also called upon the District Officer not to close a lodge such as the one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here, arbitrarily and without notice as tourists would be inconvenienced. The reasons given for such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wrongful closure, the lodge stated, were unlawful and vague and the District Officer went further by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ordering the Police Officer Commanding Police Post, </w:t>
      </w:r>
      <w:proofErr w:type="spellStart"/>
      <w:r>
        <w:rPr>
          <w:rFonts w:ascii="Times New Roman" w:hAnsi="Times New Roman" w:cs="Times New Roman"/>
          <w:color w:val="000000"/>
        </w:rPr>
        <w:t>Loiyangalani</w:t>
      </w:r>
      <w:proofErr w:type="spellEnd"/>
      <w:r>
        <w:rPr>
          <w:rFonts w:ascii="Times New Roman" w:hAnsi="Times New Roman" w:cs="Times New Roman"/>
          <w:color w:val="000000"/>
        </w:rPr>
        <w:t>, to ensure that the lodge remained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closed until further notice.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district officer was not satisfied with the explanations given by the lodge and on 29 October 1990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wrote a letter to the District Commissioner </w:t>
      </w:r>
      <w:proofErr w:type="spellStart"/>
      <w:r>
        <w:rPr>
          <w:rFonts w:ascii="Times New Roman" w:hAnsi="Times New Roman" w:cs="Times New Roman"/>
          <w:color w:val="000000"/>
        </w:rPr>
        <w:t>Marsabit</w:t>
      </w:r>
      <w:proofErr w:type="spellEnd"/>
      <w:r>
        <w:rPr>
          <w:rFonts w:ascii="Times New Roman" w:hAnsi="Times New Roman" w:cs="Times New Roman"/>
          <w:color w:val="000000"/>
        </w:rPr>
        <w:t xml:space="preserve"> complaining that the lodge was not co-operative at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in some aspects. In particular he referred to the alleged non-contribution by the lodge to the many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proofErr w:type="spellStart"/>
      <w:r>
        <w:rPr>
          <w:rFonts w:ascii="Times New Roman" w:hAnsi="Times New Roman" w:cs="Times New Roman"/>
          <w:color w:val="000000"/>
        </w:rPr>
        <w:t>Harambees</w:t>
      </w:r>
      <w:proofErr w:type="spellEnd"/>
      <w:r>
        <w:rPr>
          <w:rFonts w:ascii="Times New Roman" w:hAnsi="Times New Roman" w:cs="Times New Roman"/>
          <w:color w:val="000000"/>
        </w:rPr>
        <w:t>” he had held saying that the lodge manager was sacked for contributing to the Presidential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Bursary Fund. He also complained about the lodge not offering reduced accommodation charge to civil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 visiting the Division; that the lodge proprietor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had formed a tendency of misusing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and promoting “thuggery”; that he had terminated employment of about 35 employees; that having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offered employment to four </w:t>
      </w:r>
      <w:proofErr w:type="spellStart"/>
      <w:r>
        <w:rPr>
          <w:rFonts w:ascii="Times New Roman" w:hAnsi="Times New Roman" w:cs="Times New Roman"/>
          <w:color w:val="000000"/>
        </w:rPr>
        <w:t>Shangillas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Dasanash</w:t>
      </w:r>
      <w:proofErr w:type="spellEnd"/>
      <w:r>
        <w:rPr>
          <w:rFonts w:ascii="Times New Roman" w:hAnsi="Times New Roman" w:cs="Times New Roman"/>
          <w:color w:val="000000"/>
        </w:rPr>
        <w:t>) he turned them away; he accused the lodge of not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paying salaries thereby prompting the staff to steal from the lodge. In effect there was a tirade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accusations against the lodge and its managing director (referred to as a proprietor by the District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Officer). He recommended that the liquor license for the lodge not be renewed.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giving evidence before the superior court the district Officer said that whilst collecting money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Presidential Bursary Fund from the lodge he had noticed that the Presidential Portrait was not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displayed therein; that no liquor license was displayed; none of the other requisite licenses were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available; he ordered closure on 2 April 1990. He went back to check if the licenses had been obtained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as none were obtained on 15 April 1990, he opted not to prosecute the “proprietor”; that his aim was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pressurize the lodge into obtaining licenses; he ascertained that no land rent had been paid since 1986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stated that rent for the plot was paid. The district officer said further that as District Magistrate III 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empowered to close the lodge.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 to the evidence of the District Officer,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Kamanda</w:t>
      </w:r>
      <w:proofErr w:type="spellEnd"/>
      <w:r>
        <w:rPr>
          <w:rFonts w:ascii="Times New Roman" w:hAnsi="Times New Roman" w:cs="Times New Roman"/>
          <w:color w:val="000000"/>
        </w:rPr>
        <w:t xml:space="preserve"> the managing director of the lodge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in court Catering License for 1989, Miscellaneous License 1989, Regulated Trade License for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1990, Caterers License for 1990, Hotel Managers License for 1990, Food Drugs and chemicals License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1990, Liquor License for 1990, Hotel Managers License for 1989. He produced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all eleven (11) such licenses to show that he had been complying with requisite laws.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the District Officer have powers to close the lodge for the alleged infraction of the licensing laws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namely The Trade Licensing Act, </w:t>
      </w:r>
      <w:proofErr w:type="gramStart"/>
      <w:r>
        <w:rPr>
          <w:rFonts w:ascii="Times New Roman" w:hAnsi="Times New Roman" w:cs="Times New Roman"/>
          <w:color w:val="000000"/>
        </w:rPr>
        <w:t>Cap.</w:t>
      </w:r>
      <w:proofErr w:type="gramEnd"/>
      <w:r>
        <w:rPr>
          <w:rFonts w:ascii="Times New Roman" w:hAnsi="Times New Roman" w:cs="Times New Roman"/>
          <w:color w:val="000000"/>
        </w:rPr>
        <w:t xml:space="preserve"> 497 Laws of Kenya, The Hotels and Restaurant Act Cap. 494,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Liquor Licensing Act Cap. 121 and The Local Government Act, Cap 265?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deal with each of these Acts. The Trade Licensing Act at the material time provided penalties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infraction thereof. Section 22 empowers an administrative officer or licensing officer or a police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of or above the rank of an inspector to enter the premises to ensure compliance with Cap. 497.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 person is found guilty of an offence under the Act where no penalty is specifically provided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penalty is imprisonment for a term not exceeding five thousand shillings or both. The Act does not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 for closure of a business even on a conviction. In this particular case, it must be noted that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 was never even charged with an offence under the Act. Quite obviously the District Officer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exceeded his powers under the Act. The Trade Licensing Act regulates grant of licenses to carry on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categories of trade and primarily the purpose is to collect fees for grant of licenses under the Act.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quite unlawful and arbitrary on the part of the District Officer to order closure of the lodge on such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flimsy grounds. It would appear that after he was shown the Licenses he purported to open the lodge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only to later tell the district commissioner not to issue a liquor License to the lodge. He must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motivated, in so acting, by a desire other than seeking compliance with relevant law.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Hotels and Restaurants Act Cap. 494 which was declared to commence from 1 February 1992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empower a district officer to close a hotel or a restaurant. The Hotels and Restaurants Authority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(“the Authority”) established under section 3 of Cap. 494 is empowered to review the standards of hotels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restaurants, to issue licenses in accordance with section 5, to investigate and determine complaints in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section 7 and to vary, suspend or cancel licenses in accordance with section 8. Where it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appear to the Authority that a hotel or restaurant is being conducted contrary to good hotel or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restaurant management (see section 8 of Chapter 494), the Authority must give the licensee an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of being heard. Then it may require the licensee to remedy the shortcomings. Thereafter, if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licensee does not comply with the remedial measures suggested, the Authority may call for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under Chapter 494. Without prejudice to liability of the licensee, the Authority may call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the licensee to show good cause and then only can it suspend, vary or cancel the license.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in this case ought to have referred the matter to the Authority for it to take action rather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unlawfully ordering closure of the lodge. Again the District Officer exceeded his powers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became the complainant, the prosecutor and the court or the Authority. He was clearly acting illegally.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Liquor Licensing Act (Chapter 121) is aimed at regulating the sale and supply of liquor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incidental matters. The power to search premises where liquor is sold is donated to a police officer with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authority by a magistrate. The general penalty for an offence under Cap. 121 is a fine not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exceeding five hundred shillings or imprisonment not exceeding one month. A district officer has no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 to order closure of previously licensed premises.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only when licensee is charged with an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under Cap. 121 that a court can in</w:t>
      </w:r>
      <w:r w:rsidR="00D302C9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addition to any other penalty which it may lawfully impose, order the license forfeited and that it may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that no license be issued to the accused for such period as the court may order. Once again it is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clear that the District Officer not only exceeded his powers, but misused them. Yet again I come to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that the District Officer was moved by motives other than legal in ordering closure of the lodge.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Local Government Act (Chapter 265) authorizes a local authority to charge fees for any license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permit issued by it. Such fees and charges are regulated by by-law or by a resolution of the local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with the consent of the Minister for Local Government. If a person omits to pay for and/or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 a license lawfully required by a local authority he is subject to the discipline of section 257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Cap. 265. He can be fined on conviction, to a sum not exceeding two thousand shillings or imprisoned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period not exceeding two months or both but there is no provision in Cap. 265 empowering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to close a business or establishment which needs to be licensed in any authorized manner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local Authority. Yet again, I say that in this case the District Officer exceeded his authority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in ordering the closure of the lodge.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 District Officer forgot, perhaps, is that he is a public servant. He acted as, and behaved like,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village tyrant literally. I cannot fault the Learned Judge in the manner in which he answered the first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issues relating to liability of the District Officer and his employer the government of Kenya.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held that the closure of the lodge was unlawful, wrongful and without any reasonable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cause; that the Respondent was not given any warning or notice prior to closure of the same: that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Officer’s action was in bad faith, malicious and contrary to the rules of natural justice; that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had no authority to order closure of the lodge. I respectfully agree.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it is time irresponsible officers of the government are told in no uncertain terms that they must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within the law and not like tin-pot dictators or village tyrants. We are told that the District Officer is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in employment of the government. Despite all the unlawful illegal actions perpetrated by him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will cause the taxpayers to suffer, he is still employed by the government. We will see a way to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surcharge this particular officer.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urged in the superior court, it was urged before this Court that letter of 16 April 1990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addressed to the lodge by the District Officer is a redeeming feature. In my view it is not. I think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correctly pointed out that the alleged re-opening of the lodge was merely cosmetic.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was at pains even in October 1990, to say to the District Commissioner that the lodge’s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liquor license ought not to be renewed.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Madahana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appeared for the Appellants attempted valiantly to urge that the Appellants were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liable; that the District Officer had powers under Chapter 479 to order a closure; that the Respondent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comply with the requirements to trade lawfully and hence the District Officer’s actions were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justified. I have set out what action the relevant authorities could take in the event of non-compliance by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lodge with any relevant statute. There is no justification in law or even morally for what the District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did. The first fifteen grounds of appeal which relate to the issue of liability therefore fail. It does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lie in the Appellants’ province to say that the Respondent </w:t>
      </w:r>
      <w:proofErr w:type="gramStart"/>
      <w:r>
        <w:rPr>
          <w:rFonts w:ascii="Times New Roman" w:hAnsi="Times New Roman" w:cs="Times New Roman"/>
          <w:color w:val="000000"/>
        </w:rPr>
        <w:t>company</w:t>
      </w:r>
      <w:proofErr w:type="gramEnd"/>
      <w:r>
        <w:rPr>
          <w:rFonts w:ascii="Times New Roman" w:hAnsi="Times New Roman" w:cs="Times New Roman"/>
          <w:color w:val="000000"/>
        </w:rPr>
        <w:t xml:space="preserve"> instituted a suit without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of the directors of the company. No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Respondent company (the lodge) has taken any such action; a limited liability company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sue for the righting of any wrong done to it by a third party without the third party being entitled to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 for the authority to sue.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Madahana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attempted to differentiate between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Wamanda</w:t>
      </w:r>
      <w:proofErr w:type="spellEnd"/>
      <w:r>
        <w:rPr>
          <w:rFonts w:ascii="Times New Roman" w:hAnsi="Times New Roman" w:cs="Times New Roman"/>
          <w:color w:val="000000"/>
        </w:rPr>
        <w:t xml:space="preserve"> and the lodge. True there is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distinction. If the lodge had rented the premises from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Wamanda</w:t>
      </w:r>
      <w:proofErr w:type="spellEnd"/>
      <w:r>
        <w:rPr>
          <w:rFonts w:ascii="Times New Roman" w:hAnsi="Times New Roman" w:cs="Times New Roman"/>
          <w:color w:val="000000"/>
        </w:rPr>
        <w:t xml:space="preserve"> the lodge still has a cause of action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it had here. As regards damage to the buildings, which apparently belong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Wamanda</w:t>
      </w:r>
      <w:proofErr w:type="spellEnd"/>
      <w:r>
        <w:rPr>
          <w:rFonts w:ascii="Times New Roman" w:hAnsi="Times New Roman" w:cs="Times New Roman"/>
          <w:color w:val="000000"/>
        </w:rPr>
        <w:t>, it would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transpire, eventually, that nothing turns on that distinction.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Madahana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to put the blame for the closure of the lodge on public health authorities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allegedly closed the lodge for failure to meet health requirements. There is no evidence that public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health authorities closed the lodge at the material time. Even if they did so later it would certainly appear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that was done on the machinations of the District Officer.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come now the issue of damages. The Learned Judge proceeded to assess damages as follows:</w:t>
      </w:r>
      <w:r w:rsidR="00D302C9">
        <w:rPr>
          <w:rFonts w:ascii="Times New Roman" w:hAnsi="Times New Roman" w:cs="Times New Roman"/>
          <w:color w:val="00000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General Damages</w:t>
      </w:r>
      <w:r w:rsidR="00D302C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Loss of profits for the period of 3 April 1990 to 31 December 1996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49 670 270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(ii) Refurbishing cost for lodges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3 200 000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iii) Replacement cost for damaged and condemned buildings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7 300 000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KTDC loan interest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5 157 970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(v) KCB Loan interest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130 564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65 458 804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Special Damages</w:t>
      </w:r>
      <w:r w:rsidR="00D302C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Damaged hotel stock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2 285 943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Gitobu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Accountants (fees)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391 600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iii)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Wahome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Valuers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(fees)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285 500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Directors salaries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4 050 000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(v) Outstanding debts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96 043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(Advertising) Sub-Total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7 082 086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Grand 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72 340 890-50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must be noted that loss of profits for the period 3 April 1990 to 31 December 1996, was not claimed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general damages. The Learned Judge however awarded the same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49 670 270. It is trite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that loss of profits do not qualify to fall under the head of general damages. Such special damages must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pleaded and strictly proved. This Court said, pointedly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Sande v Kenya Co-operative</w:t>
      </w:r>
      <w:r w:rsidR="00D302C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Creameries Ltd</w:t>
      </w:r>
      <w:r>
        <w:rPr>
          <w:rFonts w:ascii="Times New Roman" w:hAnsi="Times New Roman" w:cs="Times New Roman"/>
          <w:color w:val="000000"/>
          <w:sz w:val="20"/>
          <w:szCs w:val="20"/>
        </w:rPr>
        <w:t>, civil appeal number 154 of 1992 (UR): “In this connection it was the duty of the Appellant to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put before the judge through his pleadings the claim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14 151 650-70; though the Appellant had an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opportunity to amend his plaint before leading evidence on that issue he chose not to do so ..”.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Earlier this Court said, in the </w:t>
      </w:r>
      <w:r>
        <w:rPr>
          <w:rFonts w:ascii="Times New Roman" w:hAnsi="Times New Roman" w:cs="Times New Roman"/>
          <w:i/>
          <w:iCs/>
          <w:color w:val="000000"/>
        </w:rPr>
        <w:t xml:space="preserve">Sande </w:t>
      </w:r>
      <w:r>
        <w:rPr>
          <w:rFonts w:ascii="Times New Roman" w:hAnsi="Times New Roman" w:cs="Times New Roman"/>
          <w:color w:val="000000"/>
        </w:rPr>
        <w:t>case: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“During the trial in the High Court the Appellant was allowed, and without any sort of objection whatsoever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Respondent, to lead evidence to the effect that as a consequence of the alleged breach of contract by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Respondent, he had suffered a loss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14 151 650-70 and that he was claiming that sum from the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Respondent though he had not pleaded it in his plaint.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who led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us readily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admitted that the claim for the 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14 151 650-70 was in the nature of special damages and ought to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specifically pleaded in the plaint”.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Judge in the </w:t>
      </w:r>
      <w:r>
        <w:rPr>
          <w:rFonts w:ascii="Times New Roman" w:hAnsi="Times New Roman" w:cs="Times New Roman"/>
          <w:i/>
          <w:iCs/>
          <w:color w:val="000000"/>
        </w:rPr>
        <w:t xml:space="preserve">Sande </w:t>
      </w:r>
      <w:r>
        <w:rPr>
          <w:rFonts w:ascii="Times New Roman" w:hAnsi="Times New Roman" w:cs="Times New Roman"/>
          <w:color w:val="000000"/>
        </w:rPr>
        <w:t>case disallowed the said claim despite evidence having been led, without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by the Respondent, on the basis that the sum claimed being in the nature of specific damages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specifically pleaded and that he (the Judge) had been in error in allowing the Appellant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lead evidence on the issue. This Court agreed with what the Learned Judge in the superior court said in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Sande </w:t>
      </w:r>
      <w:r>
        <w:rPr>
          <w:rFonts w:ascii="Times New Roman" w:hAnsi="Times New Roman" w:cs="Times New Roman"/>
          <w:color w:val="000000"/>
        </w:rPr>
        <w:t>case.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same token of reasoning the claim (not pleaded)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49 670 270 is disallowed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set aside; such an award should not have been made unless pleaded and unless strictly proved as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damage claim. However, “loss of profits” was claimed under the heading “special damages”,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general damages.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only damages pleaded in the amended plaint amount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9 766 182, of which the most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substantial claim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5 400 000 which is pleaded as “loss of profit in respect of lodge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accommodation from date of closure and counting”.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lodge was bound by the rules of pleading and procedure to amend the plaint at or before the time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hearing in the superior court so as to quantify and claim the so-called “and continuing” damages under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head of “loss of profits”. It did not do so. The audited accounts of the lodge for the year 1989 show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net profit, for the year,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3 327 849 and for the period 1 January 1990 to 2 April 1990 the audited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accounts show a profit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1 653 944. But the lodge had suffered losses, during the years 1987 and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1988, as follows: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Loss for the year 1987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1 543 070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Loss for the year 1988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1 874 779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Total for two Years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3 417 849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two-year loss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3 417 849was brought forward to the year 1989 and the net profit for the year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(KShs3 327 849) was wiped out showing a net loss at the end of the year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90 000.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in the state of affairs that the lodge claimed its loss of profits in the superior court for the period 2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1990 to 31 December 1996 the award in which respect I have set aside for the reason that general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cannot be asked for or awarded in lieu of special damages and that they must be specifically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pleaded. However, I cannot overlook the fact that the loss of profits claim was pleaded under the heading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“particulars of loss and damage” in the plaint I have no reason to think that the 1989 profits the lodge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amounted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3 327 849and that net profits for the period 1 January 1990 to 2 April 1990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amounted to KShs1 653 944. The plaint was filed exactly one year after the date of closure of the lodge. I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allow special damages for one year prior to filing of suit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3 330 000 taking the sum as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round figure. I cannot allow the pleaded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5 400 000 as no proper basis was laid for such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figure as connoting loss of profits for one year. Looking at the matter realistically, I think I would adopt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1989 profits as proper guide to base my award under this heading.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come now to all other losses and damages as awarded: refurbishing costs for the lodge, replacement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 for damaged and condemned buildings, KTDC loan interest and KCB loan interest as awarded by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 in the sums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3 200 000,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7 300 000,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5 157 970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130 564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 under the heading “general damages” was, in my view, erroneous.</w:t>
      </w:r>
      <w:r w:rsidR="00D302C9">
        <w:rPr>
          <w:rFonts w:ascii="Times New Roman" w:hAnsi="Times New Roman" w:cs="Times New Roman"/>
          <w:color w:val="00000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are special damages and ought to have been pleaded as special damages. All these claims were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quantifiable prior to the hearing date but were not quantified for inclusion in the pleadings. I would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disallow all the said awards and set the same aside.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</w:t>
      </w:r>
      <w:proofErr w:type="spellStart"/>
      <w:r>
        <w:rPr>
          <w:rFonts w:ascii="Times New Roman" w:hAnsi="Times New Roman" w:cs="Times New Roman"/>
          <w:color w:val="000000"/>
        </w:rPr>
        <w:t>refered</w:t>
      </w:r>
      <w:proofErr w:type="spellEnd"/>
      <w:r>
        <w:rPr>
          <w:rFonts w:ascii="Times New Roman" w:hAnsi="Times New Roman" w:cs="Times New Roman"/>
          <w:color w:val="000000"/>
        </w:rPr>
        <w:t xml:space="preserve"> to, earlier, the special damages awarded by the Learned Judge. The claims in respect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accountant’s fees and the </w:t>
      </w:r>
      <w:proofErr w:type="spellStart"/>
      <w:r>
        <w:rPr>
          <w:rFonts w:ascii="Times New Roman" w:hAnsi="Times New Roman" w:cs="Times New Roman"/>
          <w:color w:val="000000"/>
        </w:rPr>
        <w:t>valuer’s</w:t>
      </w:r>
      <w:proofErr w:type="spellEnd"/>
      <w:r>
        <w:rPr>
          <w:rFonts w:ascii="Times New Roman" w:hAnsi="Times New Roman" w:cs="Times New Roman"/>
          <w:color w:val="000000"/>
        </w:rPr>
        <w:t xml:space="preserve"> fees were not pleaded. I would disallow and set aside the awards in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 thereof in the sums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391 600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285 000 respectively.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for director’s salaries comes out of profits of a company. Under the heading “Expenditure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Administration” in the 1989 profit and loss account of the lodge, salaries and wages are shown in the sum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247 641. Directors’ expenses are shown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240 000. There is no payment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in respect of directors’ salaries. This particular claim is therefore untenable.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“damaged hotel stock” claim as awarded by the Learned Judge is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2 285 943. The sums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in the plaint which may be classified as “damaged hotel stock “ are as follows: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Foodstuffs which went to rot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49 632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Drinks in locked up store – Wines, spirits, whiskey, beers, soda and mineral water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156 900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Transport charges in respect of soft drinks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12 000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Transport by Air Kenya of foodstuff @ 20 per kilogram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6 000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 </w:t>
      </w:r>
      <w:proofErr w:type="spellStart"/>
      <w:r>
        <w:rPr>
          <w:rFonts w:ascii="Times New Roman" w:hAnsi="Times New Roman" w:cs="Times New Roman"/>
          <w:color w:val="000000"/>
        </w:rPr>
        <w:t>otal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224 532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 awarded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2 285 943 under the heading “damaged hotel stock”. 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arrived at this figure from the evidence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Nahashon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Kinyua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Murange</w:t>
      </w:r>
      <w:proofErr w:type="spellEnd"/>
      <w:r>
        <w:rPr>
          <w:rFonts w:ascii="Times New Roman" w:hAnsi="Times New Roman" w:cs="Times New Roman"/>
          <w:color w:val="000000"/>
        </w:rPr>
        <w:t xml:space="preserve"> (PW3), an accountant with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accounting firm M/S </w:t>
      </w:r>
      <w:proofErr w:type="spellStart"/>
      <w:r>
        <w:rPr>
          <w:rFonts w:ascii="Times New Roman" w:hAnsi="Times New Roman" w:cs="Times New Roman"/>
          <w:color w:val="000000"/>
        </w:rPr>
        <w:t>Gitobu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Company. He saw the stock list as at the closure of the hotel. The stock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was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3 047 943 of which he found stock worth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2 285 943 completely damaged.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award is based on an </w:t>
      </w:r>
      <w:proofErr w:type="spellStart"/>
      <w:r>
        <w:rPr>
          <w:rFonts w:ascii="Times New Roman" w:hAnsi="Times New Roman" w:cs="Times New Roman"/>
          <w:color w:val="000000"/>
        </w:rPr>
        <w:t>unpleaded</w:t>
      </w:r>
      <w:proofErr w:type="spellEnd"/>
      <w:r>
        <w:rPr>
          <w:rFonts w:ascii="Times New Roman" w:hAnsi="Times New Roman" w:cs="Times New Roman"/>
          <w:color w:val="000000"/>
        </w:rPr>
        <w:t xml:space="preserve"> figure and hence cannot be allowed, as it is in the nature of special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damages. I would substitute, for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2 285 943,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224 532. I will also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mention that it was not prudent on the part of the lodge to let the stocks rot. The stocks could have been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disposed of. There is no evidence of even any attempt to do so.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come now to two other substantial claims as pleaded in the plaint, namely of profits in respect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non-use of the lodge swimming pool and motor-boat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1 080 000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905 000 respectively.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obvious that these claims are covered or ought to be covered under the heading “loss of profits”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lodge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3 327 849 including profits made from the swimming pool and boat tours.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claims, as separately made, are untenable as they are part of the normal annual profits made by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lodge. These are misconceived and I would disallow the same.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all the circumstances of this case I would assess the special damages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3 524 532arrived at as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loss of profits the lodge suffered as a result of unlawful closure thereof, confined to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pleadings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3 300 000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for stocks rendered useless and costs of transport for salvaging some stock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224 532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3 524 532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come now to the issue of general damages. The high-handed and illegal manner in which the District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acted calls for an award of exemplary or punitive damages. This is an exceptional case. As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earlier the District Officer acted in total disregard of the relevant law of the land. Such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deserves severe censure as well as an award of exemplary or punitive damages, the acts of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being tortious. No exemplary damages are claimed so I would add that the award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damages is based on the pleadings.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award of special damages will carry interest at the court rate from 2 April 1991 until date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in full.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allow this appeal to the extent that I have stated, set aside the award made by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Judge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72 540 890-50 and substitute that figure with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3 524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532.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Appellants have succeeded on the issue of damages only and have failed on the issue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I would make no order as to costs of this appeal but I would order that the Respondent do have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costs in the superior court, to be taxed on the basis of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3 524 532.</w:t>
      </w:r>
      <w:r w:rsidR="00D302C9">
        <w:rPr>
          <w:rFonts w:ascii="Times New Roman" w:hAnsi="Times New Roman" w:cs="Times New Roman"/>
          <w:color w:val="000000"/>
        </w:rPr>
        <w:t xml:space="preserve"> </w:t>
      </w:r>
    </w:p>
    <w:p w:rsidR="00D302C9" w:rsidRDefault="00D302C9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 JA: </w:t>
      </w:r>
      <w:r>
        <w:rPr>
          <w:rFonts w:ascii="Times New Roman" w:hAnsi="Times New Roman" w:cs="Times New Roman"/>
          <w:color w:val="000000"/>
        </w:rPr>
        <w:t>I had the advantage of reading in draft form the judgment by Shah JA. I broadly agree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that judgment and the orders proposed therein and I only wish to add a few words of my own. R </w:t>
      </w:r>
      <w:proofErr w:type="spellStart"/>
      <w:r>
        <w:rPr>
          <w:rFonts w:ascii="Times New Roman" w:hAnsi="Times New Roman" w:cs="Times New Roman"/>
          <w:color w:val="000000"/>
        </w:rPr>
        <w:t>R</w:t>
      </w:r>
      <w:proofErr w:type="spellEnd"/>
      <w:r w:rsidR="00D302C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Siree</w:t>
      </w:r>
      <w:proofErr w:type="spellEnd"/>
      <w:r>
        <w:rPr>
          <w:rFonts w:ascii="Times New Roman" w:hAnsi="Times New Roman" w:cs="Times New Roman"/>
          <w:color w:val="000000"/>
        </w:rPr>
        <w:t xml:space="preserve">, the First Appellant and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Attorney-General, the Second Appellant, appeal against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judgment of </w:t>
      </w:r>
      <w:proofErr w:type="spellStart"/>
      <w:r>
        <w:rPr>
          <w:rFonts w:ascii="Times New Roman" w:hAnsi="Times New Roman" w:cs="Times New Roman"/>
          <w:color w:val="000000"/>
        </w:rPr>
        <w:t>Mbogholi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Msagha</w:t>
      </w:r>
      <w:proofErr w:type="spellEnd"/>
      <w:r>
        <w:rPr>
          <w:rFonts w:ascii="Times New Roman" w:hAnsi="Times New Roman" w:cs="Times New Roman"/>
          <w:color w:val="000000"/>
        </w:rPr>
        <w:t xml:space="preserve"> J in which that Learned Judge found them liable to the Respondent,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Lake Turkana El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lodges Ltd and ordered them to pay to the latter a total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72 340 890-50.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Appellants, through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Madahana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sought to persuade us that the judge of the superior court was wrong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finding them liable, and that in the circumstances of the case the First Appellant who was a district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in the employment of the Kenya government, was entitled to close down a lodge operated by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Respondent. With the greatest respect to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Madahana</w:t>
      </w:r>
      <w:proofErr w:type="spellEnd"/>
      <w:r>
        <w:rPr>
          <w:rFonts w:ascii="Times New Roman" w:hAnsi="Times New Roman" w:cs="Times New Roman"/>
          <w:color w:val="000000"/>
        </w:rPr>
        <w:t xml:space="preserve">, I am totally unable to </w:t>
      </w:r>
      <w:proofErr w:type="spellStart"/>
      <w:r>
        <w:rPr>
          <w:rFonts w:ascii="Times New Roman" w:hAnsi="Times New Roman" w:cs="Times New Roman"/>
          <w:color w:val="000000"/>
        </w:rPr>
        <w:t>visualise</w:t>
      </w:r>
      <w:proofErr w:type="spellEnd"/>
      <w:r>
        <w:rPr>
          <w:rFonts w:ascii="Times New Roman" w:hAnsi="Times New Roman" w:cs="Times New Roman"/>
          <w:color w:val="000000"/>
        </w:rPr>
        <w:t xml:space="preserve"> any system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under which the actions of the First Appellant could go unpunished. Shah JA has set out in his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all the relevant Acts of Parliament which govern the operations of a company such as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None of those Acts gives a district officer the power to close down the operations of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such as the Appellant and it is abundantly clear from the recorded evidence that the First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in closing down the operations of the Respondent, was motivated more by a desire to show to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how powerful he was as a district officer. I would go so far as to say he was plainly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malicious. He purported to close down the lodge on behalf of the government of Kenya; the First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actions were plainly unlawful. The second Appellant,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plainly liable for the crude acts of the First Appellant. I agree with my Lord Shah that the First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is nothing more than a village tyrant and a bully. The government of Kenya who has placed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in a position where he is able to hurt the businesses of other Kenyans must be prepared to pay for his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excesses. There is no merit in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as concerns liability and like Shah JA, I would also reject that aspect of the appeal.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special damages awarded, this Court has said time and time again that when damages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calculated to a cent, then they cease to be general and must be claimed as special damages. In this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regard, loss of profits, which formed the bulk of the Respondent’s claim for damages, are in the nature of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special damages and must be specifically pleaded </w:t>
      </w:r>
      <w:r>
        <w:rPr>
          <w:rFonts w:ascii="Times New Roman" w:hAnsi="Times New Roman" w:cs="Times New Roman"/>
          <w:i/>
          <w:iCs/>
          <w:color w:val="000000"/>
        </w:rPr>
        <w:t xml:space="preserve">before </w:t>
      </w:r>
      <w:r>
        <w:rPr>
          <w:rFonts w:ascii="Times New Roman" w:hAnsi="Times New Roman" w:cs="Times New Roman"/>
          <w:color w:val="000000"/>
        </w:rPr>
        <w:t>they can be strictly proved. If company “A”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says it has been earning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 net profit per month but that by the unlawful action of “B” it has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deprived of that profit for a period of twelve months, then surely there can be nothing unjust or too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difficult to demand of “A” to specifically plead these facts and then </w:t>
      </w:r>
      <w:r>
        <w:rPr>
          <w:rFonts w:ascii="Times New Roman" w:hAnsi="Times New Roman" w:cs="Times New Roman"/>
          <w:i/>
          <w:iCs/>
          <w:color w:val="000000"/>
        </w:rPr>
        <w:t xml:space="preserve">strictly prove </w:t>
      </w:r>
      <w:r>
        <w:rPr>
          <w:rFonts w:ascii="Times New Roman" w:hAnsi="Times New Roman" w:cs="Times New Roman"/>
          <w:color w:val="000000"/>
        </w:rPr>
        <w:t>them, of course upon a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probabilities, during the ensuing trial. If the loss continues even at the time the matter comes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trial, then there can surely be nothing on earth to prevent “A” asking the court to allow an amendment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plaint to cover the period subsequent to the filing of the suit. These are the principles to be found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Court’s decisions such as </w:t>
      </w:r>
      <w:r>
        <w:rPr>
          <w:rFonts w:ascii="Times New Roman" w:hAnsi="Times New Roman" w:cs="Times New Roman"/>
          <w:i/>
          <w:iCs/>
          <w:color w:val="000000"/>
        </w:rPr>
        <w:t xml:space="preserve">Sande v Kenya Co-operative Creameries Ltd </w:t>
      </w:r>
      <w:r>
        <w:rPr>
          <w:rFonts w:ascii="Times New Roman" w:hAnsi="Times New Roman" w:cs="Times New Roman"/>
          <w:color w:val="000000"/>
        </w:rPr>
        <w:t>[1992] LLR 314 (CAK),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Eldama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Ravine Distributors Ltd and another v Samson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Kipruto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</w:t>
      </w:r>
      <w:r>
        <w:rPr>
          <w:rFonts w:ascii="Times New Roman" w:hAnsi="Times New Roman" w:cs="Times New Roman"/>
          <w:color w:val="000000"/>
        </w:rPr>
        <w:t>ivil appeal number 22 of 1991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(unreported), </w:t>
      </w:r>
      <w:r>
        <w:rPr>
          <w:rFonts w:ascii="Times New Roman" w:hAnsi="Times New Roman" w:cs="Times New Roman"/>
          <w:i/>
          <w:iCs/>
          <w:color w:val="000000"/>
        </w:rPr>
        <w:t xml:space="preserve">Coast Bus Services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[1992] LLR 318 (CAK) and many more recent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decisions on the same point.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Sisco’s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Court stated: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would restate the position. Special damages must be pleaded with as much particularity as circumstances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permit, and, in this connection, it is not enough to simply aver in the plaint as was done in this case, the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particulars of special damages were to be supplied at the time of the trial. If at the time of filing the suit the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particulars of special damages are not known with certainty, then those particulars can only be supplied at the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of trial by amending the plaint to include the particulars which were previously missing. It is only when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particulars of the special damages are pleaded in the plaint that a claimant will be allowed to proceed to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strict proof of those particulars”.</w:t>
      </w:r>
      <w:r w:rsidR="00D302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Court has consistently followed these principles and for my part, I can find nothing in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that would justify a departure from them.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damages pleaded by the Respondent in its amended plaint dated 2 December 1992 amounted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all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9 766 182-00 and those were the only damages he was entitled to prove during the trial. It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noteworthy that those damages included a claim for loss of profits for the years 1990, 1991 and 1992.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certainly able to quantify its lost profits and that being so, the damages ceased to be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large and could only be claimed as special damages. In the event, the </w:t>
      </w:r>
      <w:r w:rsidR="00D302C9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awarded to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49 670 270-00 which was said to be in respect of: “Loss of profits for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period of 3 April 1991 to 31 December 1996”.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such claim in the plaint and the Learned Judge was not entitled to award it to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without an amendment of the plaint. I agree with Shah JA that the only special damages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were validly claimed and proved by the Respondent amounted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3 524 532-00. I would also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that sum to the Respondent.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said at the beginning of this judgment, the actions of the First Appellant were high-handed,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oppressive and at times downright malicious. However, the Respondent did not claim punitive or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exemplary damages; had the Respondent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so, I would have awarded such damages. As it is, we cannot award to the Respondent such damages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they were not claimed.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also claimed general damages. We have awarded to it damages which put it in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in which it would be, had its operations not been closed down by the unlawful acts of the First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In the circumstances, we cannot have any legal basis for awarding general damages to the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D302C9">
        <w:rPr>
          <w:rFonts w:ascii="Times New Roman" w:hAnsi="Times New Roman" w:cs="Times New Roman"/>
          <w:color w:val="000000"/>
        </w:rPr>
        <w:t xml:space="preserve"> </w:t>
      </w:r>
    </w:p>
    <w:p w:rsidR="00D302C9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JA agrees, the orders of the Court shall be those proposed in the judgment of Shah JA.</w:t>
      </w:r>
      <w:r w:rsidR="00D302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JA concurred in the judgments of Shah and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JJA.)</w:t>
      </w:r>
      <w:r w:rsidR="00D302C9">
        <w:rPr>
          <w:rFonts w:ascii="Times New Roman" w:hAnsi="Times New Roman" w:cs="Times New Roman"/>
          <w:color w:val="000000"/>
        </w:rPr>
        <w:t xml:space="preserve"> </w:t>
      </w:r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Appellants:</w:t>
      </w:r>
      <w:r w:rsidR="00D302C9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Madahana</w:t>
      </w:r>
      <w:proofErr w:type="spellEnd"/>
    </w:p>
    <w:p w:rsidR="00E63DBA" w:rsidRDefault="00E63DBA" w:rsidP="00E6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E63DBA" w:rsidP="00E63DBA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BA"/>
    <w:rsid w:val="003F18BF"/>
    <w:rsid w:val="00D302C9"/>
    <w:rsid w:val="00E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7BD80-EA23-48CD-AA35-147AAB51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4465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2018-07-05T11:01:00Z</dcterms:created>
  <dcterms:modified xsi:type="dcterms:W3CDTF">2018-07-11T16:19:00Z</dcterms:modified>
</cp:coreProperties>
</file>