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Sodha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Vora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2003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1191/02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449A6" w:rsidRDefault="00E449A6" w:rsidP="00A95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Bank – Guarantee – Variation of contract with principal debtor – Whether effect is to discharge</w:t>
      </w:r>
      <w:r w:rsidR="00A95E2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guarantee.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Injunction – Interlocutory injunction – Principles for grant of interlocutory</w:t>
      </w:r>
      <w:r w:rsidR="00A95E2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injunction.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Contract – Variation – Whether variation of principal debtor’s obligations discharges the guarantor.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95E24" w:rsidRDefault="00E449A6" w:rsidP="00A95E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was the Managing Director in a company that obtained credit facilities from the Fourth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bank. The First to Third Defendants were the Plaintiff’s co-directors. The Plaintiff agreed to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 payment of the loan and charged his property for this purpose. Subsequently, the bank obtained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guarantees from the co-directors. Two years later, the bank served statutory notice of its intention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the charged security on account of non-payment. The Plaintiff filed suit to discharge his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guarantee on the eve of the auction and sought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injunction. It was claimed that the further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guarantees amounted to a substantial variation of contract to his detriment.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response, the bank claimed that the Plaintiff’s application had been brought after excessive delay. It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also argued that the further guarantees did not amount to a variation of contract, and that in any case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charge which was to be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was a separate and independent security. The charge stated that the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guarantor would be deemed principal debtor for the purposes of the charge.</w:t>
      </w:r>
    </w:p>
    <w:p w:rsidR="00A95E24" w:rsidRDefault="00A95E24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taking of additional securities by the bank did not have the effect of altering the contract of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 at all or to the prejudice of the guarantor. Further, a construction of the wording of the charge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clear that the charge was an independent security not tied to the related guarantee (</w:t>
      </w:r>
      <w:r>
        <w:rPr>
          <w:rFonts w:ascii="Times New Roman" w:hAnsi="Times New Roman" w:cs="Times New Roman"/>
          <w:i/>
          <w:iCs/>
          <w:color w:val="000000"/>
        </w:rPr>
        <w:t>Reid v National</w:t>
      </w:r>
      <w:r w:rsidR="00A95E2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Bank of Commerce </w:t>
      </w:r>
      <w:r>
        <w:rPr>
          <w:rFonts w:ascii="Times New Roman" w:hAnsi="Times New Roman" w:cs="Times New Roman"/>
          <w:color w:val="000000"/>
        </w:rPr>
        <w:t>[1971] EA 538 distinguished).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facts of this case, no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had been established for the grant of an interlocutory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injunction. Since the property charged had been converted into a commodity for sale, the Plaintiff would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suffer any irreparable loss that could not be adequately compensated by an award of damages after</w:t>
      </w:r>
      <w:r w:rsidR="00A95E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trial.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for injunction dismissed with costs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ruling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E449A6" w:rsidRDefault="00E449A6" w:rsidP="00E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Reid v National Bank of Commerce </w:t>
      </w:r>
      <w:r>
        <w:rPr>
          <w:rFonts w:ascii="Times New Roman" w:hAnsi="Times New Roman" w:cs="Times New Roman"/>
          <w:color w:val="000000"/>
        </w:rPr>
        <w:t xml:space="preserve">[1971] EA 538 – </w:t>
      </w:r>
      <w:r>
        <w:rPr>
          <w:rFonts w:ascii="Times New Roman" w:hAnsi="Times New Roman" w:cs="Times New Roman"/>
          <w:b/>
          <w:bCs/>
          <w:color w:val="000000"/>
        </w:rPr>
        <w:t>D</w:t>
      </w:r>
      <w:bookmarkStart w:id="0" w:name="_GoBack"/>
      <w:bookmarkEnd w:id="0"/>
    </w:p>
    <w:sectPr w:rsidR="00E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A6"/>
    <w:rsid w:val="00575C55"/>
    <w:rsid w:val="00A95E24"/>
    <w:rsid w:val="00E4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71E97-5426-4A99-AA92-57449A5F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2018-07-04T18:21:00Z</dcterms:created>
  <dcterms:modified xsi:type="dcterms:W3CDTF">2018-07-11T14:13:00Z</dcterms:modified>
</cp:coreProperties>
</file>