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7C9" w:rsidRDefault="00B017C9" w:rsidP="009150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Sodha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Vora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others</w:t>
      </w:r>
    </w:p>
    <w:p w:rsidR="00B017C9" w:rsidRDefault="00B017C9" w:rsidP="009150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proofErr w:type="spellStart"/>
      <w:r>
        <w:rPr>
          <w:rFonts w:ascii="Times New Roman" w:hAnsi="Times New Roman" w:cs="Times New Roman"/>
          <w:color w:val="000000"/>
        </w:rPr>
        <w:t>Milimani</w:t>
      </w:r>
      <w:proofErr w:type="spellEnd"/>
      <w:r>
        <w:rPr>
          <w:rFonts w:ascii="Times New Roman" w:hAnsi="Times New Roman" w:cs="Times New Roman"/>
          <w:color w:val="000000"/>
        </w:rPr>
        <w:t xml:space="preserve"> Commercial Courts of Kenya at Nairobi</w:t>
      </w:r>
    </w:p>
    <w:p w:rsidR="00B017C9" w:rsidRDefault="00B017C9" w:rsidP="009150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2003</w:t>
      </w:r>
    </w:p>
    <w:p w:rsidR="00B017C9" w:rsidRDefault="00B017C9" w:rsidP="009150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1191/02</w:t>
      </w:r>
    </w:p>
    <w:p w:rsidR="00B017C9" w:rsidRDefault="00B017C9" w:rsidP="009150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Ringera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B017C9" w:rsidRDefault="00B017C9" w:rsidP="009150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B017C9" w:rsidRDefault="00B017C9" w:rsidP="009150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B017C9" w:rsidRDefault="00B017C9" w:rsidP="00B01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Bank – Guarantee – Variation of contract with principal debtor – Whether effect is to discharge</w:t>
      </w:r>
    </w:p>
    <w:p w:rsidR="00B017C9" w:rsidRDefault="00B017C9" w:rsidP="00B01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guarantee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B017C9" w:rsidRDefault="00B017C9" w:rsidP="00B01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Civil procedure – Injunction – Interlocutory injunction – Principles for grant of interlocutory</w:t>
      </w:r>
    </w:p>
    <w:p w:rsidR="00B017C9" w:rsidRDefault="00B017C9" w:rsidP="00B01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injunction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B017C9" w:rsidRDefault="00B017C9" w:rsidP="00B01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Contract – Variation – Whether variation of principal debtor’s obligations discharges the guarantor.</w:t>
      </w:r>
    </w:p>
    <w:p w:rsidR="00B017C9" w:rsidRDefault="009150C8" w:rsidP="009150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RULING</w:t>
      </w:r>
    </w:p>
    <w:p w:rsidR="00B017C9" w:rsidRDefault="00B017C9" w:rsidP="009150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Ringera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J: </w:t>
      </w:r>
      <w:r>
        <w:rPr>
          <w:rFonts w:ascii="Times New Roman" w:hAnsi="Times New Roman" w:cs="Times New Roman"/>
          <w:color w:val="000000"/>
        </w:rPr>
        <w:t xml:space="preserve">This is an application by </w:t>
      </w:r>
      <w:proofErr w:type="spellStart"/>
      <w:r>
        <w:rPr>
          <w:rFonts w:ascii="Times New Roman" w:hAnsi="Times New Roman" w:cs="Times New Roman"/>
          <w:color w:val="000000"/>
        </w:rPr>
        <w:t>Chimanlal</w:t>
      </w:r>
      <w:proofErr w:type="spellEnd"/>
      <w:r>
        <w:rPr>
          <w:rFonts w:ascii="Times New Roman" w:hAnsi="Times New Roman" w:cs="Times New Roman"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color w:val="000000"/>
        </w:rPr>
        <w:t>Sodha</w:t>
      </w:r>
      <w:proofErr w:type="spellEnd"/>
      <w:r>
        <w:rPr>
          <w:rFonts w:ascii="Times New Roman" w:hAnsi="Times New Roman" w:cs="Times New Roman"/>
          <w:color w:val="000000"/>
        </w:rPr>
        <w:t xml:space="preserve">, the Plaintiff herein, who is also the </w:t>
      </w:r>
      <w:proofErr w:type="spellStart"/>
      <w:r>
        <w:rPr>
          <w:rFonts w:ascii="Times New Roman" w:hAnsi="Times New Roman" w:cs="Times New Roman"/>
          <w:color w:val="000000"/>
        </w:rPr>
        <w:t>Chargor</w:t>
      </w:r>
      <w:proofErr w:type="spellEnd"/>
      <w:r>
        <w:rPr>
          <w:rFonts w:ascii="Times New Roman" w:hAnsi="Times New Roman" w:cs="Times New Roman"/>
          <w:color w:val="000000"/>
        </w:rPr>
        <w:t>, to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restrain </w:t>
      </w:r>
      <w:proofErr w:type="spellStart"/>
      <w:r>
        <w:rPr>
          <w:rFonts w:ascii="Times New Roman" w:hAnsi="Times New Roman" w:cs="Times New Roman"/>
          <w:color w:val="000000"/>
        </w:rPr>
        <w:t>Delphis</w:t>
      </w:r>
      <w:proofErr w:type="spellEnd"/>
      <w:r>
        <w:rPr>
          <w:rFonts w:ascii="Times New Roman" w:hAnsi="Times New Roman" w:cs="Times New Roman"/>
          <w:color w:val="000000"/>
        </w:rPr>
        <w:t xml:space="preserve"> Bank Limited, the </w:t>
      </w:r>
      <w:proofErr w:type="spellStart"/>
      <w:r>
        <w:rPr>
          <w:rFonts w:ascii="Times New Roman" w:hAnsi="Times New Roman" w:cs="Times New Roman"/>
          <w:color w:val="000000"/>
        </w:rPr>
        <w:t>Chargee</w:t>
      </w:r>
      <w:proofErr w:type="spellEnd"/>
      <w:r>
        <w:rPr>
          <w:rFonts w:ascii="Times New Roman" w:hAnsi="Times New Roman" w:cs="Times New Roman"/>
          <w:color w:val="000000"/>
        </w:rPr>
        <w:t xml:space="preserve"> from exercising its statutory power of sale to sell the charged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property known as LR number 207/3451. The application which is expressed to be made under Order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XXXIX, rules 1 and 3 of the Civil Procedure Rules is on the face of it based on the grounds that the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Chargor’s</w:t>
      </w:r>
      <w:proofErr w:type="spellEnd"/>
      <w:r>
        <w:rPr>
          <w:rFonts w:ascii="Times New Roman" w:hAnsi="Times New Roman" w:cs="Times New Roman"/>
          <w:color w:val="000000"/>
        </w:rPr>
        <w:t xml:space="preserve"> claim discloses a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 xml:space="preserve">case with a probability of success against the </w:t>
      </w:r>
      <w:proofErr w:type="spellStart"/>
      <w:r>
        <w:rPr>
          <w:rFonts w:ascii="Times New Roman" w:hAnsi="Times New Roman" w:cs="Times New Roman"/>
          <w:color w:val="000000"/>
        </w:rPr>
        <w:t>Chargee</w:t>
      </w:r>
      <w:proofErr w:type="spellEnd"/>
      <w:r>
        <w:rPr>
          <w:rFonts w:ascii="Times New Roman" w:hAnsi="Times New Roman" w:cs="Times New Roman"/>
          <w:color w:val="000000"/>
        </w:rPr>
        <w:t>, that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damages will not be an adequate remedy in the event the said property is sold and the </w:t>
      </w:r>
      <w:proofErr w:type="spellStart"/>
      <w:r>
        <w:rPr>
          <w:rFonts w:ascii="Times New Roman" w:hAnsi="Times New Roman" w:cs="Times New Roman"/>
          <w:color w:val="000000"/>
        </w:rPr>
        <w:t>Chargor’s</w:t>
      </w:r>
      <w:proofErr w:type="spellEnd"/>
      <w:r>
        <w:rPr>
          <w:rFonts w:ascii="Times New Roman" w:hAnsi="Times New Roman" w:cs="Times New Roman"/>
          <w:color w:val="000000"/>
        </w:rPr>
        <w:t xml:space="preserve"> claim in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suit succeeds, and that the balance of convenience </w:t>
      </w:r>
      <w:proofErr w:type="spellStart"/>
      <w:r>
        <w:rPr>
          <w:rFonts w:ascii="Times New Roman" w:hAnsi="Times New Roman" w:cs="Times New Roman"/>
          <w:color w:val="000000"/>
        </w:rPr>
        <w:t>favours</w:t>
      </w:r>
      <w:proofErr w:type="spellEnd"/>
      <w:r>
        <w:rPr>
          <w:rFonts w:ascii="Times New Roman" w:hAnsi="Times New Roman" w:cs="Times New Roman"/>
          <w:color w:val="000000"/>
        </w:rPr>
        <w:t xml:space="preserve"> the grant of the reliefs sought above. The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is supported by the Applicant’s own affidavit sworn on 30 November 2002. In opposition to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application is a replying affidavit sworn by YM Shukla, the Managing Director of the bank and an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affidavit by the Second Defendant. The application was argued before me on 14 February 2003.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From the material on record, the following is discernible. A company called </w:t>
      </w:r>
      <w:proofErr w:type="spellStart"/>
      <w:r>
        <w:rPr>
          <w:rFonts w:ascii="Times New Roman" w:hAnsi="Times New Roman" w:cs="Times New Roman"/>
          <w:color w:val="000000"/>
        </w:rPr>
        <w:t>Kendist</w:t>
      </w:r>
      <w:proofErr w:type="spellEnd"/>
      <w:r>
        <w:rPr>
          <w:rFonts w:ascii="Times New Roman" w:hAnsi="Times New Roman" w:cs="Times New Roman"/>
          <w:color w:val="000000"/>
        </w:rPr>
        <w:t xml:space="preserve"> Limited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(hereinafter called “the Principal Debtor”) in which the Plaintiff, the First, Second and Third Defendants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all directors and shareholders with the Plaintiff as the Managing Director – requested the bank and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bank agreed to grant to the company credit facilities and other banking accommodation to a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maximum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9 500 000 exclusive of interest upon the company providing satisfactory security. The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agreed to guarantee the payment of the advance and to execute a mortgage over his property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known as LR number 209/3451 by way of further security. The charge was given on 7 February 2000. So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the guarantee. Subsequently, the bank sought and obtained further guarantees which were given by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one Dipak </w:t>
      </w:r>
      <w:proofErr w:type="spellStart"/>
      <w:r>
        <w:rPr>
          <w:rFonts w:ascii="Times New Roman" w:hAnsi="Times New Roman" w:cs="Times New Roman"/>
          <w:color w:val="000000"/>
        </w:rPr>
        <w:t>Chandulal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Keshavji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Vora</w:t>
      </w:r>
      <w:proofErr w:type="spellEnd"/>
      <w:r>
        <w:rPr>
          <w:rFonts w:ascii="Times New Roman" w:hAnsi="Times New Roman" w:cs="Times New Roman"/>
          <w:color w:val="000000"/>
        </w:rPr>
        <w:t xml:space="preserve"> (a brother of the First and Second Defendants) and by the Second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Third Defendants on 9 January 2001 and 15 January 2001. The Plaintiff complains that the addition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these three guarantees was without his knowledge or agreement and it amounted to a variation of the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terms of the guarantee and charge given by him and the loan agreement. He contends that the charge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could be discharged on the basis of the aforesaid variation.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support of that contention, reliance was placed on </w:t>
      </w:r>
      <w:r>
        <w:rPr>
          <w:rFonts w:ascii="Times New Roman" w:hAnsi="Times New Roman" w:cs="Times New Roman"/>
          <w:i/>
          <w:iCs/>
          <w:color w:val="000000"/>
        </w:rPr>
        <w:t xml:space="preserve">Halsbury’s Laws of England </w:t>
      </w:r>
      <w:r>
        <w:rPr>
          <w:rFonts w:ascii="Times New Roman" w:hAnsi="Times New Roman" w:cs="Times New Roman"/>
          <w:color w:val="000000"/>
        </w:rPr>
        <w:t xml:space="preserve">(4 </w:t>
      </w:r>
      <w:proofErr w:type="spellStart"/>
      <w:r>
        <w:rPr>
          <w:rFonts w:ascii="Times New Roman" w:hAnsi="Times New Roman" w:cs="Times New Roman"/>
          <w:color w:val="000000"/>
        </w:rPr>
        <w:t>ed</w:t>
      </w:r>
      <w:proofErr w:type="spellEnd"/>
      <w:r>
        <w:rPr>
          <w:rFonts w:ascii="Times New Roman" w:hAnsi="Times New Roman" w:cs="Times New Roman"/>
          <w:color w:val="000000"/>
        </w:rPr>
        <w:t>) Volume 20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paragraph 328 where the learned editors posit the law as follows: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“Where a guarantor pledges his personal credit by bond or covenant, and by the same contract also pledges</w:t>
      </w:r>
      <w:r w:rsidR="009150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his goods, or mortgages or charges his land, as security for the same debt, any alteration of the contract by the</w:t>
      </w:r>
      <w:r w:rsidR="009150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mortgagee and the principal debtor behind the guarantor’s back, ... will discharge the guarantor from all</w:t>
      </w:r>
      <w:r w:rsidR="009150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personal liability and also release the property which he has included in the contract”.</w:t>
      </w:r>
      <w:r w:rsidR="009150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also contends that by accepting those other three securities, the bank changed the course of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dealing between it and the Plaintiff thereby substantially prejudicing the Plaintiff’s position. Reliance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placed on </w:t>
      </w:r>
      <w:r>
        <w:rPr>
          <w:rFonts w:ascii="Times New Roman" w:hAnsi="Times New Roman" w:cs="Times New Roman"/>
          <w:i/>
          <w:iCs/>
          <w:color w:val="000000"/>
        </w:rPr>
        <w:t xml:space="preserve">dicta </w:t>
      </w: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 xml:space="preserve">Reid v National Bank of Commerce </w:t>
      </w:r>
      <w:r>
        <w:rPr>
          <w:rFonts w:ascii="Times New Roman" w:hAnsi="Times New Roman" w:cs="Times New Roman"/>
          <w:color w:val="000000"/>
        </w:rPr>
        <w:t>[1971] EA 538 that the general words a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guarantee cannot empower a creditor to change the nature of the relationship between himself and he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debtor to the prejudice of the guarantor.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was also submitted on behalf of the Plaintiff that if the injunction was not granted and the property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sold the prayers in the plaint would be rendered nugatory as the subject matter thereof would have ceased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exist. The opposition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application was this. The application had been brought after undue delay and the Applicant should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that reason be denied equitable relief. In that connection, it was pointed out that the statutory notice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served as early as 5 June 2002 and the auctioneers’ redemption notice and notification of sale were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also served on 27 September 2002. Yet the Plaintiff did not lodge an application for injunction until on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eve of the auction on 7 December 2002. It was pointed out that no reason for the delay had been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given.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regards the variation of the security arrangements, it was contended there was no such variation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if there was, the Plaintiff was a party to those negotiations. In that regard it was pointed out that the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was the Managing Director of the principal debtor and nothing could be done behind his back. It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also contended that the charge is an independent security which binds the </w:t>
      </w:r>
      <w:proofErr w:type="spellStart"/>
      <w:r>
        <w:rPr>
          <w:rFonts w:ascii="Times New Roman" w:hAnsi="Times New Roman" w:cs="Times New Roman"/>
          <w:color w:val="000000"/>
        </w:rPr>
        <w:t>Chargor</w:t>
      </w:r>
      <w:proofErr w:type="spellEnd"/>
      <w:r>
        <w:rPr>
          <w:rFonts w:ascii="Times New Roman" w:hAnsi="Times New Roman" w:cs="Times New Roman"/>
          <w:color w:val="000000"/>
        </w:rPr>
        <w:t xml:space="preserve"> irrespective of the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existence of or variation of other securities which have no reference to it. In that connection, attention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drawn to clauses 4 and 10(c) of the charge which provides: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“4. Without prejudice to the rights of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Chargee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against the Borrower,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Chargor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shall as between the</w:t>
      </w:r>
      <w:r w:rsidR="009150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Chargee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Chargor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 deemed principal debtor in subject of the amount secured and accordingly the</w:t>
      </w:r>
      <w:r w:rsidR="009150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Chargor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shall not be discharged nor shall liability of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Chargor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 affected by any acts, thing</w:t>
      </w:r>
      <w:r w:rsidR="009150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omission or means whatsoever whereby such liability would not have been discharged if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Chargor</w:t>
      </w:r>
      <w:proofErr w:type="spellEnd"/>
      <w:r w:rsidR="009150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had been principal debtor.</w:t>
      </w:r>
      <w:r w:rsidR="009150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10 (c) The security hereby given shall be without prejudice and in addition to any other security</w:t>
      </w:r>
      <w:r w:rsidR="009150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whether by way of pledge, legal or equitable mortgage or charge or otherwise howsoever which</w:t>
      </w:r>
      <w:r w:rsidR="009150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Chargee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may now or at any time hereafter hold on any other property for or in respect of all</w:t>
      </w:r>
      <w:r w:rsidR="009150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or any part of the indebtedness of the borrower to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Chargee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hereunder and 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Chargee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shall</w:t>
      </w:r>
      <w:r w:rsidR="009150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 at liberty to grant or refuse time, credit or any other indulgence to or to compound with the</w:t>
      </w:r>
      <w:r w:rsidR="009150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borrower or any other party now or hereafter liable to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Chargee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to take, retain, give up,</w:t>
      </w:r>
      <w:r w:rsidR="009150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release, modify, vary, exchange or abstain from perfecting, taking advantage or enforcing any</w:t>
      </w:r>
      <w:r w:rsidR="009150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securities negotiable or other instruments or contracts which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Chargee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may now or at any</w:t>
      </w:r>
      <w:r w:rsidR="009150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time hereafter hold and to discharge any party thereto in any such manner as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Chargee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may</w:t>
      </w:r>
      <w:r w:rsidR="009150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think fit and this security shall not thereby be affected, prejudiced or diminished”.</w:t>
      </w:r>
      <w:r w:rsidR="009150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bank also submitted that it had not been shown in what way the taking of additional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guarantees have prejudiced the Plaintiff’s position. The bank was entitled to take them and far from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prejudicing the Plaintiff’s position, that action was advantageous to him in that he could claim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contribution from the other guarantors. It was also submitted that any variation relied on must be in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writing and must make reference to the contract which it seeks to vary. Reference was made to </w:t>
      </w:r>
      <w:r>
        <w:rPr>
          <w:rFonts w:ascii="Times New Roman" w:hAnsi="Times New Roman" w:cs="Times New Roman"/>
          <w:i/>
          <w:iCs/>
          <w:color w:val="000000"/>
        </w:rPr>
        <w:t>Chitty on</w:t>
      </w:r>
      <w:r w:rsidR="009150C8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Contracts </w:t>
      </w:r>
      <w:r>
        <w:rPr>
          <w:rFonts w:ascii="Times New Roman" w:hAnsi="Times New Roman" w:cs="Times New Roman"/>
          <w:color w:val="000000"/>
        </w:rPr>
        <w:t xml:space="preserve">(27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ed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>) Volume I paragraphs 272–273 which on perusal were found to be completely irrelevant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variation of contracts.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Last, but not least, counsel for the Defendant contended that in this case, the charge was properly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executed, its terms were clear, the debt was admitted, and the Fourth Defendant was entitled to exercise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its statutory power of sale. The additional guarantees were taken in abundant caution and have no bearing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the charge. The case appeared to be one of internal wrangles between the shareholders and the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directors of the principal debtor and such wrangles should not prejudice the rights of the lender.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reply, counsel for the Plaintiff submitted that the charge was part of the loan arrangement. It could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be separated from the loan agreement or from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guarantee signed on the same date or from the resolution of the company to borrow. It was also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argued that the principal debtor was party to the creation of the charge and the Plaintiff’s guarantee but it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not party to the subsequent guarantees given obtained from First, Second and Third Defendants. It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further argued that the clauses in the charge set out hereinabove could only refer to variations which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are made with knowledge and participation of the principal debtor. It was conceded that the bank could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take additional securities but it was submitted that that should only be done with the knowledge and the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consent of the Plaintiff and the principal debtor. As regards delay in bringing the application, it was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the same is an irregularity which does not take away the Plaintiff’s right to obtain the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reliefs sought in the plaint.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have weighed the rival submissions. Needless to say the application must be considered on the usual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criteria. That criteria is that the Applicant is required to show a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case with a probability of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success at the trial; second, it is to be borne in mind that an injunction would not ordinarily be issued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unless the Applicant was exposed to an injury which could not adequately be compensated in damages if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 were to prevail at the trial; third, if the court is in doubt about the existence of a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case, it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decide the application on a balance of convenience; and fourth, injunction is a discretionary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equitable remedy and it may be denied if the Applicant is shown to be undeserving of equitable relief.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Looking at this matter that way, the first question is whether the Plaintiff/</w:t>
      </w:r>
      <w:proofErr w:type="spellStart"/>
      <w:r>
        <w:rPr>
          <w:rFonts w:ascii="Times New Roman" w:hAnsi="Times New Roman" w:cs="Times New Roman"/>
          <w:color w:val="000000"/>
        </w:rPr>
        <w:t>Chargor</w:t>
      </w:r>
      <w:proofErr w:type="spellEnd"/>
      <w:r>
        <w:rPr>
          <w:rFonts w:ascii="Times New Roman" w:hAnsi="Times New Roman" w:cs="Times New Roman"/>
          <w:color w:val="000000"/>
        </w:rPr>
        <w:t xml:space="preserve"> has shown a </w:t>
      </w:r>
      <w:r>
        <w:rPr>
          <w:rFonts w:ascii="Times New Roman" w:hAnsi="Times New Roman" w:cs="Times New Roman"/>
          <w:i/>
          <w:iCs/>
          <w:color w:val="000000"/>
        </w:rPr>
        <w:t>prima</w:t>
      </w:r>
      <w:r w:rsidR="009150C8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facie </w:t>
      </w:r>
      <w:r>
        <w:rPr>
          <w:rFonts w:ascii="Times New Roman" w:hAnsi="Times New Roman" w:cs="Times New Roman"/>
          <w:color w:val="000000"/>
        </w:rPr>
        <w:t>case with a probability of success at the trial that the charge on which the statutory power of sale is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sought to be exercised by the bank may be discharged on the ground that by taking additional securities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form of personal guarantees by the Second and Third Defendants and Dipak </w:t>
      </w:r>
      <w:proofErr w:type="spellStart"/>
      <w:r>
        <w:rPr>
          <w:rFonts w:ascii="Times New Roman" w:hAnsi="Times New Roman" w:cs="Times New Roman"/>
          <w:color w:val="000000"/>
        </w:rPr>
        <w:t>Vora</w:t>
      </w:r>
      <w:proofErr w:type="spellEnd"/>
      <w:r>
        <w:rPr>
          <w:rFonts w:ascii="Times New Roman" w:hAnsi="Times New Roman" w:cs="Times New Roman"/>
          <w:color w:val="000000"/>
        </w:rPr>
        <w:t xml:space="preserve"> without the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knowledge or consent of the Plaintiff, there was an alteration of the contract between the guarantor and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creditor bank. In that regard, I think the submissions of counsel for the Defendant were misconceived.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I understood him, he was of the opinion that the contract which could not be altered or varied without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consent of the guarantor was the borrowing contract between the principal debtor and the creditor. In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regard he maintained that the act of the creditor taking additional securities was tantamount to a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variation of the borrowing contract in this matter whereby the debt was to be secured by the Plaintiff’s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personal guarantee and charge over his property. In my opinion, what is forbidden is any act or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agreement between the principal debtor and the creditor without the consent or consultation with the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guarantor which has the effect of varying or altering the contract of guarantee itself. That is evident from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passage from </w:t>
      </w:r>
      <w:r>
        <w:rPr>
          <w:rFonts w:ascii="Times New Roman" w:hAnsi="Times New Roman" w:cs="Times New Roman"/>
          <w:i/>
          <w:iCs/>
          <w:color w:val="000000"/>
        </w:rPr>
        <w:t xml:space="preserve">Halsbury’s Laws of England </w:t>
      </w:r>
      <w:r>
        <w:rPr>
          <w:rFonts w:ascii="Times New Roman" w:hAnsi="Times New Roman" w:cs="Times New Roman"/>
          <w:color w:val="000000"/>
        </w:rPr>
        <w:t>cited hereinabove and also from paragraph 326 of the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same work which reads: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“The basis of the principle that a guarantor is discharged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by an agreement between the creditor and the</w:t>
      </w:r>
      <w:r w:rsidR="009150C8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principal debtor which has the effect of varying the guarantee</w:t>
      </w:r>
      <w:r>
        <w:rPr>
          <w:rFonts w:ascii="Times New Roman" w:hAnsi="Times New Roman" w:cs="Times New Roman"/>
          <w:color w:val="000000"/>
          <w:sz w:val="20"/>
          <w:szCs w:val="20"/>
        </w:rPr>
        <w:t>, is that it is the clearest and most evident</w:t>
      </w:r>
      <w:r w:rsidR="009150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equity not to carry on any transaction without the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privity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the guarantor, who must necessarily have a</w:t>
      </w:r>
      <w:r w:rsidR="009150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concern in every transaction with the principal debtor, and who cannot as guarantor be made liable for default</w:t>
      </w:r>
      <w:r w:rsidR="009150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the performance of a contract which is not the one the fulfillment of which he has guaranteed” (emphasis</w:t>
      </w:r>
      <w:r w:rsidR="009150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mine).</w:t>
      </w:r>
      <w:r w:rsidR="009150C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Now that being the case, I don’t see that the taking of additional securities of the bank had the effect of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altering the contract of guarantees at all or to the prejudice of the guarantor. Secondly, if due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consideration is paid to clauses (4) and 10(c) of the charge, it also becomes evident that the action by the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bank of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taking additional guarantees would not affect the rights of the bank under the charge. In that regard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clause (4) begs an answer to the question of whether, if the </w:t>
      </w:r>
      <w:proofErr w:type="spellStart"/>
      <w:r>
        <w:rPr>
          <w:rFonts w:ascii="Times New Roman" w:hAnsi="Times New Roman" w:cs="Times New Roman"/>
          <w:color w:val="000000"/>
        </w:rPr>
        <w:t>Chargor</w:t>
      </w:r>
      <w:proofErr w:type="spellEnd"/>
      <w:r>
        <w:rPr>
          <w:rFonts w:ascii="Times New Roman" w:hAnsi="Times New Roman" w:cs="Times New Roman"/>
          <w:color w:val="000000"/>
        </w:rPr>
        <w:t xml:space="preserve"> had been the principal debtor and the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creditor had taken additional securities, the debtor would be discharged. The answer is an obvious no.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clause 10(c) makes it clear that the charge is an independent security without prejudice or in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addition to any other security including any subsequently taken by the </w:t>
      </w:r>
      <w:proofErr w:type="spellStart"/>
      <w:r>
        <w:rPr>
          <w:rFonts w:ascii="Times New Roman" w:hAnsi="Times New Roman" w:cs="Times New Roman"/>
          <w:color w:val="000000"/>
        </w:rPr>
        <w:t>Chargee</w:t>
      </w:r>
      <w:proofErr w:type="spellEnd"/>
      <w:r>
        <w:rPr>
          <w:rFonts w:ascii="Times New Roman" w:hAnsi="Times New Roman" w:cs="Times New Roman"/>
          <w:color w:val="000000"/>
        </w:rPr>
        <w:t>. The three additional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guarantees subsequently taken by the bank must be seen as such additional securities which do not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prejudice the </w:t>
      </w:r>
      <w:proofErr w:type="spellStart"/>
      <w:r>
        <w:rPr>
          <w:rFonts w:ascii="Times New Roman" w:hAnsi="Times New Roman" w:cs="Times New Roman"/>
          <w:color w:val="000000"/>
        </w:rPr>
        <w:t>Chargee’s</w:t>
      </w:r>
      <w:proofErr w:type="spellEnd"/>
      <w:r>
        <w:rPr>
          <w:rFonts w:ascii="Times New Roman" w:hAnsi="Times New Roman" w:cs="Times New Roman"/>
          <w:color w:val="000000"/>
        </w:rPr>
        <w:t xml:space="preserve"> rights under the charge.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regards alleged alteration of the course of conduct between the creditor and the principal debtor to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prejudice of the Plaintiff as a result of the alleged alteration or variation of the contract, I agree with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submissions by counsel for the Defendant, that even if there was the alleged alteration, and I have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found there was none, there is no prejudice shown. I say so because the liability of the Plaintiff to the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bank has not been increased to any extent. In so far as the Plaintiff is concerned, the taking by the bank of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additional securities does not affect his position. It is only a matter that affects the bank’s position in that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could follow more than one person for recovery of its lending. In those premises, the Plaintiff cannot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 said to have shown a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case with a probability of success.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regards whether the injury the Plaintiff is exposed to unless the injunction is given is compensable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adequately in damages, I have no doubt that it is and that the bank is capable of compensating him should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prevail at the trial. I have often said in these sort of cases that once a property is charged to a borrower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secure a lending, the same is converted to a commodity for sale on the basis of the inexorable logic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the </w:t>
      </w:r>
      <w:proofErr w:type="spellStart"/>
      <w:r>
        <w:rPr>
          <w:rFonts w:ascii="Times New Roman" w:hAnsi="Times New Roman" w:cs="Times New Roman"/>
          <w:color w:val="000000"/>
        </w:rPr>
        <w:t>Chargor</w:t>
      </w:r>
      <w:proofErr w:type="spellEnd"/>
      <w:r>
        <w:rPr>
          <w:rFonts w:ascii="Times New Roman" w:hAnsi="Times New Roman" w:cs="Times New Roman"/>
          <w:color w:val="000000"/>
        </w:rPr>
        <w:t xml:space="preserve"> knows very well that on default of payment of the debt by himself (or by the principal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debtor if he is a guarantor) the security would be </w:t>
      </w:r>
      <w:proofErr w:type="spellStart"/>
      <w:r>
        <w:rPr>
          <w:rFonts w:ascii="Times New Roman" w:hAnsi="Times New Roman" w:cs="Times New Roman"/>
          <w:color w:val="000000"/>
        </w:rPr>
        <w:t>realised</w:t>
      </w:r>
      <w:proofErr w:type="spellEnd"/>
      <w:r>
        <w:rPr>
          <w:rFonts w:ascii="Times New Roman" w:hAnsi="Times New Roman" w:cs="Times New Roman"/>
          <w:color w:val="000000"/>
        </w:rPr>
        <w:t>. And there is no commodity for sale whose loss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cannot be adequately compensated in damages.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Last, but not least, I also agree with the submissions of counsel for the Defendant that the application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presented after inordinate delay which has not been explained. Such delay was also an adverse factor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Plaintiff’s case.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 in all, this is not an appropriate case for the exercise of the equitable discretion of the court in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favour of the Plaintiff. It is, as Defendant’s counsel contended, a case of internal wrangling between the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directors of the principal debtor who must have been friends once but who cannot now see eye to eye.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differences should not be allowed to stand in the way of a lender who is owed money, whose charge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not impugned, and where there is default and all the pertinent statutory and legal notices and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notifications have been given. The application for injunction is dismissed with costs to the Fourth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Defendant/bank.</w:t>
      </w:r>
      <w:r w:rsidR="009150C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Plaintiff:</w:t>
      </w:r>
    </w:p>
    <w:p w:rsidR="00B017C9" w:rsidRDefault="00B017C9" w:rsidP="00B01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p w:rsidR="00B017C9" w:rsidRDefault="00B017C9" w:rsidP="00B017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Defendants:</w:t>
      </w:r>
    </w:p>
    <w:p w:rsidR="00575C55" w:rsidRDefault="00B017C9" w:rsidP="00B017C9"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sectPr w:rsidR="00575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C9"/>
    <w:rsid w:val="00575C55"/>
    <w:rsid w:val="009150C8"/>
    <w:rsid w:val="00B0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4A284-81BE-41C1-93F5-C0030AE0A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2226</Words>
  <Characters>12691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2018-07-04T18:22:00Z</dcterms:created>
  <dcterms:modified xsi:type="dcterms:W3CDTF">2018-07-11T14:12:00Z</dcterms:modified>
</cp:coreProperties>
</file>