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23" w:rsidRDefault="00044A23" w:rsidP="004E34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Sohrab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Coast Bottlers Ltd</w:t>
      </w:r>
    </w:p>
    <w:p w:rsidR="00044A23" w:rsidRDefault="00044A23" w:rsidP="004E34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Mombasa</w:t>
      </w:r>
    </w:p>
    <w:p w:rsidR="00044A23" w:rsidRDefault="00044A23" w:rsidP="004E34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November 1973</w:t>
      </w:r>
    </w:p>
    <w:p w:rsidR="00044A23" w:rsidRDefault="00044A23" w:rsidP="004E34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23/1973 (2/74)</w:t>
      </w:r>
    </w:p>
    <w:p w:rsidR="00044A23" w:rsidRDefault="00044A23" w:rsidP="004E34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Spry V-P, Law and Mustafa JJA</w:t>
      </w:r>
    </w:p>
    <w:p w:rsidR="00044A23" w:rsidRDefault="00044A23" w:rsidP="004E34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44A23" w:rsidRDefault="00044A23" w:rsidP="004E34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Sir Dermot Sheridan, J</w:t>
      </w:r>
    </w:p>
    <w:p w:rsidR="00044A23" w:rsidRDefault="00044A23" w:rsidP="004E34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Pledge – Delivery – Vehicle registration and possession with pledgee – Whether delivery to pledgee.</w:t>
      </w:r>
    </w:p>
    <w:p w:rsidR="00044A23" w:rsidRDefault="004E3405" w:rsidP="004E34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4E3405" w:rsidRDefault="00044A23" w:rsidP="00044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  <w:r>
        <w:rPr>
          <w:rFonts w:ascii="Times New Roman" w:hAnsi="Times New Roman" w:cs="Times New Roman"/>
          <w:b/>
          <w:bCs/>
          <w:color w:val="000000"/>
        </w:rPr>
        <w:t xml:space="preserve">Law JA: </w:t>
      </w:r>
      <w:r>
        <w:rPr>
          <w:rFonts w:ascii="Times New Roman" w:hAnsi="Times New Roman" w:cs="Times New Roman"/>
          <w:color w:val="000000"/>
        </w:rPr>
        <w:t>This appeal arises out of a suit filed in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High Court by the respondent. The plaint claimed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19,563/50 being the balance of the price of goods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allegedly sold and delivered to the appellant. By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appellant pleaded that he was the owner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lorry of which he had been wrongfully and unlawfully dispossessed by reason of the respondent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having forcibly seized it, and he counter-claimed damages for loss of use of the lorry at the rate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3,000/- a month until the date of filing suit, 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42,000/- and continuing damages at the same rate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thereafter. He prayed for a set-off of an amount sufficient to extinguish any sum found due by him to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and for judgment for any sum in excess thereof. By its reply, the respondent admitted that at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material times the appellant was the owner of the lorry, but contended that he had pledged it to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as security for the debt which he owed to the respondent, in terms of a letter dated 30 January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1968, signed by the appellant. The respondent further pleaded that by virtue of its rights under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letter it had lawfully taken the appellant’s lorry into its fleet at an independent valuation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5,000/- and it accordingly reduced its claim against the appellant from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19,563/50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14,563/50.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trial, the following agreed issues were framed–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whether the vehicle was pledged by the appellant to the respondent as security until he had paid his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debt to the respondent, and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(2) was the respondent liable to the appellant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detinue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conversion. Evidence was led on both sides,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the following facts emerged as appears in the judgment. I have substituted the words “appellant”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“respondent” for the words “defendant” and “plaintiff” respectively.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“Since 1965 the appellant had been a distributor of mineral waters for the respondent 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Malindi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Voi</w:t>
      </w:r>
      <w:proofErr w:type="spellEnd"/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areas on a hire commission basis. In order to assist him in the performance of his duties the respondent sold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him a Ford Thames Trader Diesel truck registration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KAY 700 on hire purchase terms. By April 1967 the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last instalment had been paid, and in the normal course of events the truck would have been transferred into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appellant’s name. This was not done.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By 30 January 1968, the appellant was indebted to the respondent in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36,565/10.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Kassamali</w:t>
      </w:r>
      <w:proofErr w:type="spellEnd"/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Paroo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managing director of the appellant was unwilling to sell the appellant any more goods on credit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unless he agreed to liquidate his indebtedness on terms as set out in a letter signed by him.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appellant continued to use the truck in the business but the registration book and certificate of insurance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remained with the respondent in its name, the respondent paying the insurance premiums and debiting them to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appellant, and the truck was kept in the respondent’s yard, for security reasons as the appellant maintains.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On 8 September the appellant made a last payment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1,000/-. On 3 October he gave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which was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dishonoured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By letter dated 13 October the respondent’s advocate demanded payment of the outstanding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balance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19,563/50 and stated that the truck which the appellant had given as security for the debt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would be valued by Hughes Ltd. and sold towards a reduction of the debt. By a further letter dated 25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October, the respondent informed the appellant that the truck had been valued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5,000/- and that if he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did not find a buyer who was prepared to pay a higher price within seven days it would be sold and his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account would be credited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5,000/- and he would be sued for the balance. . . . On 4 December the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plaint was filed. After that the appellant came to see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Paroo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his office.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Paroo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asked him if he had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found a buyer for the truck. He replied that he had not, nor could he find any money. When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Paroo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said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that they would have to take some action the appellant replied, ‘All right, do whatever you like.’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Paroo</w:t>
      </w:r>
      <w:proofErr w:type="spellEnd"/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not cross-examined about this conversation nor did the appellant deny in evidence that it took place. On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31 December the appellant was credited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5,000/- thus reducing his indebtedness, which is not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disputed,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14,563/50. The truck was added to the respondent’s fleet of trucks. From October the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 has not been allowed access to the yard or the truck. It was opened with the duplicate key. . . .”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letter of 30 January 1968 is of prime importance in deciding whether or not the lorry was pledged to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as contended by it. It begins by admitting indebtedness of “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16,000/-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17,000/-”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ends as follows–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spite of above, I request you Sir to kindly give me one more chance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continue on both routes,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viz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Voi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Malindi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sides or any one of these two routes, preferably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Malindi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side,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I AGREE AS UNDER–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collect or gradually reduce the temporary credits given to me and they reduce your debt on me;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sell the stock held in my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Malindi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Depot and reduce your debt;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gradually to repay you the difference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16,000/-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17,000/- which I am unable to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explain;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meantime to allow truck No. KAY 700 to stand in your name (on which I have already paid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your instalments) as security until your debt on me is fully paid.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Yours faithfully.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Issa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Sohrab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.”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evidence as to who drafted this document, but clearly the expression “your debt” should be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 as “my debt”. There is no suggestion that there was no consideration for the appellant’s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undertakings, or that the respondent failed to </w:t>
      </w:r>
      <w:proofErr w:type="spellStart"/>
      <w:r>
        <w:rPr>
          <w:rFonts w:ascii="Times New Roman" w:hAnsi="Times New Roman" w:cs="Times New Roman"/>
          <w:color w:val="000000"/>
        </w:rPr>
        <w:t>honour</w:t>
      </w:r>
      <w:proofErr w:type="spellEnd"/>
      <w:r>
        <w:rPr>
          <w:rFonts w:ascii="Times New Roman" w:hAnsi="Times New Roman" w:cs="Times New Roman"/>
          <w:color w:val="000000"/>
        </w:rPr>
        <w:t xml:space="preserve"> its undertaking to allow the appellant to continue to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operate on the </w:t>
      </w:r>
      <w:proofErr w:type="spellStart"/>
      <w:r>
        <w:rPr>
          <w:rFonts w:ascii="Times New Roman" w:hAnsi="Times New Roman" w:cs="Times New Roman"/>
          <w:color w:val="000000"/>
        </w:rPr>
        <w:t>Voi</w:t>
      </w:r>
      <w:proofErr w:type="spellEnd"/>
      <w:r>
        <w:rPr>
          <w:rFonts w:ascii="Times New Roman" w:hAnsi="Times New Roman" w:cs="Times New Roman"/>
          <w:color w:val="000000"/>
        </w:rPr>
        <w:t xml:space="preserve"> and/or </w:t>
      </w:r>
      <w:proofErr w:type="spellStart"/>
      <w:r>
        <w:rPr>
          <w:rFonts w:ascii="Times New Roman" w:hAnsi="Times New Roman" w:cs="Times New Roman"/>
          <w:color w:val="000000"/>
        </w:rPr>
        <w:t>Malindi</w:t>
      </w:r>
      <w:proofErr w:type="spellEnd"/>
      <w:r>
        <w:rPr>
          <w:rFonts w:ascii="Times New Roman" w:hAnsi="Times New Roman" w:cs="Times New Roman"/>
          <w:color w:val="000000"/>
        </w:rPr>
        <w:t xml:space="preserve"> routes. It is clear that some nine months later the appellant had failed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reduce his indebtedness at all. The substantial question for decision in this appeal is whether this letter,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which the respondent relies, effectually resulted in a pledge of the appellant’s lorry.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Earl Jowett’s </w:t>
      </w:r>
      <w:r>
        <w:rPr>
          <w:rFonts w:ascii="Times New Roman" w:hAnsi="Times New Roman" w:cs="Times New Roman"/>
          <w:i/>
          <w:iCs/>
          <w:color w:val="000000"/>
        </w:rPr>
        <w:t xml:space="preserve">Dictionary of English Law </w:t>
      </w:r>
      <w:r>
        <w:rPr>
          <w:rFonts w:ascii="Times New Roman" w:hAnsi="Times New Roman" w:cs="Times New Roman"/>
          <w:color w:val="000000"/>
        </w:rPr>
        <w:t>(Vol. II), under the title “Pledge”–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pledge is where the owner of a chattel agrees with another person that it shall be held by the latter (the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pledgee) as security for the payment of a debt or performance of an obligation. This entitles the pledgee to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hold the chattel until payment or performance, and, upon failure of payment or performance at the proper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time, to sell it; but until he does so,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pledgor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may redeem it by payment or performance.”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Under the heading “Pawn or Pledge” in the same volume, the following appears–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“But in a pledge, a special property only passes to the pledgee, the general property remaining 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pledgor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Also, in the case of a pledge, the right of a pledgee is not consummated except by possession. . . .”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There must accordingly be delivery of possession, either actual or constructive, to constitute a pledge.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 correctly directed himself as to this. He held as follows: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“Apart from the wording of clause 4 of the letter that the truck was given as security for the debt what else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could the appellant have done to show that he had delivered it as a pledge consistent with his continued user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it as a means of reducing his indebtedness? It remained with the respondent. I do not believe this was for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security reasons. The respondent retained the registration card and certificate of insurance and had the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duplicate key. The appellant’s resigned attitude at the interview before Christmas 1969 points to a pledge of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truck.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Paroo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not have agreed to continue to give the appellant credit unless he knew he had the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truck as security. I do not follow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Ex. A was merely allowing the truck to remain in the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respondent’s name so that the appellant could not sell it until the debt was paid in full. What security would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be if, as it appears, the appellant would never be in a position to repay the debt. Sale upon default in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payment of the debt is an incident of pledge and here it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exercised only after two and a half months had elapsed from notice of intention to sell.”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A. A.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>, for the appellant, submitted before us that the element of delivery, which is an essential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ingredient of pledge, was completely lacking in this case, and he relied on </w:t>
      </w:r>
      <w:r>
        <w:rPr>
          <w:rFonts w:ascii="Times New Roman" w:hAnsi="Times New Roman" w:cs="Times New Roman"/>
          <w:i/>
          <w:iCs/>
          <w:color w:val="000000"/>
        </w:rPr>
        <w:t>Dublin City Distillery v.</w:t>
      </w:r>
      <w:r w:rsidR="004E340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Doherty</w:t>
      </w:r>
      <w:r>
        <w:rPr>
          <w:rFonts w:ascii="Times New Roman" w:hAnsi="Times New Roman" w:cs="Times New Roman"/>
          <w:color w:val="000000"/>
        </w:rPr>
        <w:t>, [1914] A.C. 823. He pointed to the wording of clause 4 of the letter, whereby the appellant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he would “allow truck No. KAY 700 to stand in your (respondent’s) name as security”. This was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Mr. </w:t>
      </w:r>
      <w:proofErr w:type="spellStart"/>
      <w:r>
        <w:rPr>
          <w:rFonts w:ascii="Times New Roman" w:hAnsi="Times New Roman" w:cs="Times New Roman"/>
          <w:color w:val="000000"/>
        </w:rPr>
        <w:t>Lakha’s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no more than a maintenance of the status quo ante, as the lorry had always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stood in the respondent’s name, and been kept on its premises for convenience, so that the respondent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exercised some degree of physical control over it. There was in Mr. </w:t>
      </w:r>
      <w:proofErr w:type="spellStart"/>
      <w:r>
        <w:rPr>
          <w:rFonts w:ascii="Times New Roman" w:hAnsi="Times New Roman" w:cs="Times New Roman"/>
          <w:color w:val="000000"/>
        </w:rPr>
        <w:t>Lakha’s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no evidence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whatsoever of delivery of possession of the lorry to the respondent, whether actual or constructive.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view the question depends entirely on what construction is placed on clause 4. Before the letter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30 January 1968, was signed, the lorry was kept on the respondent’s premises. The appellant took it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whenever he needed it but it was registered in the respondent’s name and the respondent had a key to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it. To that extent it provided some security for the appellant’s debt, as the respondent would not in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practical terms be able to find a buyer for it, as the registration had not been transferred to his name.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obviously intended something to be achieved when the appellant signed his “agreement” of 30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January. He said he would “allow” the vehicle to stand in the respondent’s name. But it had always stood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respondent’s name. Therefore the appellant must have meant something more. He was in my view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waiving his right, as owner, to have his own name registered as the owner. He agreed to waive this right,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as to provide security for his debts. In this way, he was constructively delivering possession of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to the respondent, subject to his being allowed to use it in reduction of his debt. Instead of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debt diminishing, it increased. After a reasonable time the respondent gave notice of its intention to sell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lorry at a valuation and after a further reasonable period it did so. It has never been suggested that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valuation was unreasonable. In my considered opinion, there was an effective pledge in this case. By not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insisting in the lorry being transferred to him, and by leaving it in the respondent’s physical possession, a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special property or interest coupled with possession was vested in the respondent, who thereafter held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lorry as security for the payment by the appellant of his debt. There was a constructive delivery of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pledge to the respondent. When the appellant failed to pay his debt within a reasonable time,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as </w:t>
      </w:r>
      <w:proofErr w:type="spellStart"/>
      <w:r>
        <w:rPr>
          <w:rFonts w:ascii="Times New Roman" w:hAnsi="Times New Roman" w:cs="Times New Roman"/>
          <w:color w:val="000000"/>
        </w:rPr>
        <w:t>pledgor</w:t>
      </w:r>
      <w:proofErr w:type="spellEnd"/>
      <w:r>
        <w:rPr>
          <w:rFonts w:ascii="Times New Roman" w:hAnsi="Times New Roman" w:cs="Times New Roman"/>
          <w:color w:val="000000"/>
        </w:rPr>
        <w:t xml:space="preserve"> sold the lorry, as he was entitled to do.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these reasons, I think the trial judge came to a correct decision in this case. I would dismiss this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with costs.</w:t>
      </w:r>
      <w:r w:rsidR="004E3405">
        <w:rPr>
          <w:rFonts w:ascii="Times New Roman" w:hAnsi="Times New Roman" w:cs="Times New Roman"/>
          <w:color w:val="000000"/>
        </w:rPr>
        <w:t xml:space="preserve"> </w:t>
      </w:r>
    </w:p>
    <w:p w:rsidR="004E3405" w:rsidRDefault="004E3405" w:rsidP="00044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E3405" w:rsidRDefault="00044A23" w:rsidP="00044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The facts in this case have been set out in the judgment of Law, J.A., and I will only refer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them briefly.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had filed a suit against the appellant claiming a sum of money as due and owing for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goods sold and supplied. The appellant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admitted owing the sum claimed but denied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 and counterclaimed against the respondent. The appellant alleged that the respondent had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wrongfully seized and detained the appellant’s vehicle and by reason thereof the appellant claimed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and special damages, and prayed for a set off sufficient to extinguish the sum due to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and for judgment for the balance.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its reply the respondent agreed that it had seized the vehicle, but claimed that the seizure was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lawful as the vehicle was pledged by the appellant to it as security for the debt owed by the appellant.</w:t>
      </w:r>
      <w:r w:rsidR="004E3405">
        <w:rPr>
          <w:rFonts w:ascii="Times New Roman" w:hAnsi="Times New Roman" w:cs="Times New Roman"/>
          <w:color w:val="000000"/>
        </w:rPr>
        <w:t xml:space="preserve"> </w:t>
      </w:r>
    </w:p>
    <w:p w:rsidR="004E3405" w:rsidRDefault="00044A23" w:rsidP="00044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There were two agreed issues at the trial. They were: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hether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vehicle was pledged by the appellant to the respondent company as security until he had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paid his debt to the respondent.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I s the respondent liable to the appellant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detinue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conversion.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at one stage was an employee of the respondent and in 1965 the appellant was appointed a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distributor for certain areas by the respondent for the sale of its soft drink products. To assist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the respondent had sold a vehicle to him on hire-purchase or credit terms, and by April 1967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had paid off all the instalments for the vehicle.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vehicle was registered in the name of the respondent who also paid the registration charges and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insurance premiums for it, but debited such expenses to the appellant. The vehicle was kept in a yard in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premises. The appellant was using the vehicle to sell the respondent’s products in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 defined areas.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 in dispute that by May 1967, the appellant was the full owner of the vehicle and could have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transferred the registration of the vehicle in his name and removed it from the respondent’s yard. He did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do so.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30 January 1968 the appellant was indebted to the respondent in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36,000/- odd. On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day he met the managing director of the respondent and wrote a letter addressed to the respondent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containing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the following: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[The judge set out the terms and continued.]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common ground that for a pledge to be effective there must be a contract to pledge, coupled with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delivery of the article pledged. Delivery may be actual or constructive.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this point the respondent’s managing director said in evidence: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“By 30 January 1968 he (appellant) was indebted to the plaintiff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36,565/10. I called him. He agreed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reduce the amount and in the meantime the truck remained as security with us in our name. I produce the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letter which he signed. . . .”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in evidence said: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didn’t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authorise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them to use the truck. It was only to remain in their name until I paid the debt. I didn’t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intend to pledge the truck. If I had I would have handed over the keys to them. . . .”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view, the letter of 30 January 1968 signed by the appellant clearly constituted an agreement to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pledge. The only point for consideration is whether there was delivery pursuant to the agreement.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pointer to delivery would be whether the appellant had handed over the vehicle keys to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respondent. The appellant contended that he had not. The judge found, on the </w:t>
      </w:r>
      <w:proofErr w:type="gramStart"/>
      <w:r>
        <w:rPr>
          <w:rFonts w:ascii="Times New Roman" w:hAnsi="Times New Roman" w:cs="Times New Roman"/>
          <w:color w:val="000000"/>
        </w:rPr>
        <w:t>evidence, that</w:t>
      </w:r>
      <w:proofErr w:type="gramEnd"/>
      <w:r>
        <w:rPr>
          <w:rFonts w:ascii="Times New Roman" w:hAnsi="Times New Roman" w:cs="Times New Roman"/>
          <w:color w:val="000000"/>
        </w:rPr>
        <w:t xml:space="preserve"> he had.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his evidence, the appellant was aware of the significance of the handing over of the vehicle keys. It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true the respondent’s evidence was not clear as to whether the vehicle keys were handed over by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in pursuance of the agreement to pledge, but in my view the appellant’s denial was indicative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was perhaps done in pursuance of it.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that the keeping of the vehicle in the respondent’s yard, the retention of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 card and insurance certificate and the vehicle keys by the respondent could not constitute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delivery because that was merely maintaining the status quo.</w:t>
      </w:r>
      <w:r w:rsidR="004E3405">
        <w:rPr>
          <w:rFonts w:ascii="Times New Roman" w:hAnsi="Times New Roman" w:cs="Times New Roman"/>
          <w:color w:val="000000"/>
        </w:rPr>
        <w:t xml:space="preserve"> </w:t>
      </w:r>
    </w:p>
    <w:p w:rsidR="004E3405" w:rsidRDefault="00044A23" w:rsidP="00044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 when the appellant signed the letter of 30 January 1968, he agreed to allow the respondent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a special property in the vehicle as security for the debt and to refrain from exercising his right to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himself registered as owner until the debt was paid off. Even if the respondent was merely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reaffirming a situation which had been existing by leaving the vehicle and the vehicle keys in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of the respondent, he was doing so at that time as a result of his agreement to use the vehicle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security for the debt. That would, in my view, constitute constructive delivery.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dismiss the appeal. I concur in the order proposed by Law, J.A.</w:t>
      </w:r>
      <w:r w:rsidR="004E3405">
        <w:rPr>
          <w:rFonts w:ascii="Times New Roman" w:hAnsi="Times New Roman" w:cs="Times New Roman"/>
          <w:color w:val="000000"/>
        </w:rPr>
        <w:t xml:space="preserve"> </w:t>
      </w:r>
    </w:p>
    <w:p w:rsidR="004E3405" w:rsidRDefault="004E3405" w:rsidP="00044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E3405" w:rsidRDefault="00044A23" w:rsidP="00044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Spry V-P: </w:t>
      </w:r>
      <w:r>
        <w:rPr>
          <w:rFonts w:ascii="Times New Roman" w:hAnsi="Times New Roman" w:cs="Times New Roman"/>
          <w:color w:val="000000"/>
        </w:rPr>
        <w:t>I have had the advantage of reading the judgment of Law, J.A., but, with respect, I am unable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agree.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suit, which was brought by the respondent, was not disputed but the appellant brought a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counterclaim, alleging that the respondent had wrongfully seized and detained a truck belonging to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and claiming special and general damages. In a reply to the counterclaim, the respondent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that the truck had been pledged to it on 30 January 1968. It did not deny seizure of the truck but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that such seizure was lawful and that the appellant had been credited with the value of the truck.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counterclaim was fought fairly and squarely on the issue whether there had been a pledge of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truck. At the hearing of the appeal, Mr. Gautama, for the respondent, made various suggestions, including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that the truck had been handed over by consent and another that the respondent might have had a lien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it, but, with respect, these were never part of the respondent’s case; they were not pleaded, or proved,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argued and it is too late to raise them now.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have said, the pledge is alleged to have been created on 30 January 1968, and it was part of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allegation that it was created by a letter of that date signed by the appellant. This letter began with a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 of account between the parties. This showed a balance in favour of the respondent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36,565/10. The appellant then stated that he had stocks and a small amount of cash due to him </w:t>
      </w:r>
      <w:proofErr w:type="spellStart"/>
      <w:r>
        <w:rPr>
          <w:rFonts w:ascii="Times New Roman" w:hAnsi="Times New Roman" w:cs="Times New Roman"/>
          <w:color w:val="000000"/>
        </w:rPr>
        <w:t>totalling</w:t>
      </w:r>
      <w:proofErr w:type="spellEnd"/>
      <w:r w:rsidR="004E340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20,162/-. He went on to say that he could not explain the deficiency. The appellant, who was an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agent of the respondent selling soft drinks on commission, then asked to be allowed to retain two routes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which he operated, and in return agreed to take certain steps to reduce his debt, concluding–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and in the meantime, to allow Truck No. KAY 700 to stand in your name (on which I have already paid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your instalments) as security until your debt on me is fully paid.”</w:t>
      </w:r>
      <w:r w:rsidR="004E340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To understand this paragraph, it is necessary to look briefly at the history of this truck. It was sold by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to the appellant in 1965 on credit terms and the appellant duly completed payment for it in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March or April 1967. The truck remained registered in the name of the respondent and it was insured in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name, the appellant repaying the premiums. When not in use, the truck was kept in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yard. The appellant also kept the duplicate key (presumably the ignition key) of the truck.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claimed that the truck was kept in the respondent’s yard as he had no safe place in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to keep it; the only witness for the respondent merely referred to the fact of the truck being kept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but gave no reason. Both sides agreed that the truck was the property of the appellant but that it was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left in the respondent’s name until the appellant should have discharged his debt to the respondent.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This, then, was the position when the letter of 30 January 1968, was written and it appears that that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position remained unchanged until September 1969.</w:t>
      </w:r>
      <w:r w:rsidR="004E3405">
        <w:rPr>
          <w:rFonts w:ascii="Times New Roman" w:hAnsi="Times New Roman" w:cs="Times New Roman"/>
          <w:color w:val="000000"/>
        </w:rPr>
        <w:t xml:space="preserve"> </w:t>
      </w:r>
    </w:p>
    <w:p w:rsidR="00044A23" w:rsidRDefault="00044A23" w:rsidP="00044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There are some minor differences in the evidence as to what happened then but they are not of any real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importance. What is clear is that the appellant was still substantially in debt to the respondent and that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seized the truck. On 13 October 1969, the respondent’s advocate wrote to the appellant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threatening to sell the truck if the debt was not discharged within seven days. Twelve days later, a further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was sent, saying that the truck had been valued at £250 and that unless the appellant could find a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buyer at a better price, the respondent proposed to take over the truck and credit the appellant with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value. On 27 October 1969, the appellant’s advocate wrote to the respondent’s advocate complaining of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seizure of the truck and claiming compensation for its unlawful detention and for trespass. On 27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November, the respondent’s advocate replied, denying that the seizure had been illegal and asserting that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truck had been in the respondent’s possession with the “acquiescence” of the appellant.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then filed suit against the appellant. After an interview between the parties, when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is alleged to have said, “Do whatever you like”, the respondent, on 31 December 1969, credited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with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5,000/- and began to use the truck as its own property.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 rightly held that delivery, either actual or constructive, is essential to a pledge. He held that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truck “remained” with the respondent after the letter of 30 January 1968, and that the respondent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retained the registration card, certificate of insurance and the duplicate key. He found constructive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delivery in these facts and he also found some confirmation of the existence of a pledge in the “resigned”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attitude of the appellant in December 1969.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has not at any stage been alleged that a pledge existed before 30 January 1968, and I cannot see that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anything happened on that date that could constitute constructive delivery of the truck. The fact that it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kept in the respondent’s yard was merely a continuation of an existing arrangement. It was not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mentioned in the letter and there was no undertaking, then or at any other </w:t>
      </w:r>
      <w:proofErr w:type="gramStart"/>
      <w:r>
        <w:rPr>
          <w:rFonts w:ascii="Times New Roman" w:hAnsi="Times New Roman" w:cs="Times New Roman"/>
          <w:color w:val="000000"/>
        </w:rPr>
        <w:t>time, that</w:t>
      </w:r>
      <w:proofErr w:type="gramEnd"/>
      <w:r>
        <w:rPr>
          <w:rFonts w:ascii="Times New Roman" w:hAnsi="Times New Roman" w:cs="Times New Roman"/>
          <w:color w:val="000000"/>
        </w:rPr>
        <w:t xml:space="preserve"> it would not be kept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elsewhere. The respondent already had the registration card, the certificate of insurance and the duplicate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key: there is no suggestion that these or any of them was handed over on 30 January 1968, and all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indications are to the contrary. Indeed, there seems to have been no change in the position, legal or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actual, between April 1967, and September 1969.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cannot see that the attitude of the appellant in December 1969, is of any relevance and I can see no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element of consent in it. At that time, the respondent had filed a suit to recover his debt and the appellant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already put forward what was to constitute the counterclaim.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see it, the main purpose of the letter of 30 January 1968, was to record an agreed account. The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on which the respondent relies, and which I have quoted above, seems to me to mean nothing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than it says, that is, that the truck was to remain in the respondent’s name so that the appellant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sell it without the respondent’s consent.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follows that I would have allowed the appeal. As, however, the other members of the Court are of a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opinion, the appeal must be, and is, dismissed with costs.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no useful purpose would be served by considering what order would have been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appropriate had the appeal succeeded, a matter on which Mr.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addressed us at some length.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one other matter that I would mention. I am by no means satisfied that even if a pledge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existed, the respondent had the right to appropriate the truck, as opposed to selling it. This question was</w:t>
      </w:r>
      <w:r w:rsidR="004E34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considered at any stage and we were not addressed on it: on my view of the case, it does not arise and</w:t>
      </w:r>
    </w:p>
    <w:p w:rsidR="00044A23" w:rsidRDefault="00044A23" w:rsidP="00044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shall say no more on it.</w:t>
      </w:r>
    </w:p>
    <w:p w:rsidR="00044A23" w:rsidRDefault="00044A23" w:rsidP="00044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dismissed.</w:t>
      </w:r>
    </w:p>
    <w:p w:rsidR="00044A23" w:rsidRDefault="00044A23" w:rsidP="00044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044A23" w:rsidRDefault="00044A23" w:rsidP="00044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Lakha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ASM El-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Riami</w:t>
      </w:r>
      <w:proofErr w:type="spellEnd"/>
      <w:r>
        <w:rPr>
          <w:rFonts w:ascii="Times New Roman" w:hAnsi="Times New Roman" w:cs="Times New Roman"/>
          <w:color w:val="000000"/>
        </w:rPr>
        <w:t>, Mombasa)</w:t>
      </w:r>
    </w:p>
    <w:p w:rsidR="00044A23" w:rsidRDefault="00044A23" w:rsidP="00044A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044A23" w:rsidP="00044A23">
      <w:r>
        <w:rPr>
          <w:rFonts w:ascii="Times New Roman" w:hAnsi="Times New Roman" w:cs="Times New Roman"/>
          <w:i/>
          <w:iCs/>
          <w:color w:val="000000"/>
        </w:rPr>
        <w:t xml:space="preserve">SC Gautama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AYA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Jiwaji</w:t>
      </w:r>
      <w:proofErr w:type="spellEnd"/>
      <w:r>
        <w:rPr>
          <w:rFonts w:ascii="Times New Roman" w:hAnsi="Times New Roman" w:cs="Times New Roman"/>
          <w:color w:val="000000"/>
        </w:rPr>
        <w:t>, Mombasa)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23"/>
    <w:rsid w:val="00044A23"/>
    <w:rsid w:val="004E3405"/>
    <w:rsid w:val="006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5FBB1-5697-4CD4-A55A-751374EC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3460</Words>
  <Characters>19723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2018-07-05T12:47:00Z</dcterms:created>
  <dcterms:modified xsi:type="dcterms:W3CDTF">2018-07-11T14:09:00Z</dcterms:modified>
</cp:coreProperties>
</file>