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54D" w:rsidRDefault="006C55DF" w:rsidP="0081054D">
      <w:pPr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Soki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  <w:r w:rsidR="0081054D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</w:p>
    <w:p w:rsidR="0081054D" w:rsidRDefault="006C55DF" w:rsidP="0081054D">
      <w:pPr>
        <w:spacing w:after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Kisumu</w:t>
      </w:r>
      <w:r w:rsidR="0081054D">
        <w:rPr>
          <w:rFonts w:ascii="Times New Roman" w:hAnsi="Times New Roman" w:cs="Times New Roman"/>
          <w:color w:val="000000"/>
        </w:rPr>
        <w:t xml:space="preserve"> </w:t>
      </w:r>
    </w:p>
    <w:p w:rsidR="0081054D" w:rsidRDefault="006C55DF" w:rsidP="0081054D">
      <w:pPr>
        <w:spacing w:after="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26 March 2004</w:t>
      </w:r>
      <w:r w:rsidR="0081054D">
        <w:rPr>
          <w:rFonts w:ascii="Times New Roman" w:hAnsi="Times New Roman" w:cs="Times New Roman"/>
          <w:color w:val="000000"/>
        </w:rPr>
        <w:t xml:space="preserve"> </w:t>
      </w:r>
    </w:p>
    <w:p w:rsidR="0081054D" w:rsidRDefault="006C55DF" w:rsidP="0081054D">
      <w:pPr>
        <w:spacing w:after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Number: </w:t>
      </w:r>
      <w:r>
        <w:rPr>
          <w:rFonts w:ascii="Times New Roman" w:hAnsi="Times New Roman" w:cs="Times New Roman"/>
          <w:color w:val="000000"/>
        </w:rPr>
        <w:t>26/04</w:t>
      </w:r>
      <w:r w:rsidR="0081054D">
        <w:rPr>
          <w:rFonts w:ascii="Times New Roman" w:hAnsi="Times New Roman" w:cs="Times New Roman"/>
          <w:color w:val="000000"/>
        </w:rPr>
        <w:t xml:space="preserve"> </w:t>
      </w:r>
    </w:p>
    <w:p w:rsidR="0081054D" w:rsidRDefault="006C55DF" w:rsidP="0081054D">
      <w:pPr>
        <w:spacing w:after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JJA and Onyango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AJA</w:t>
      </w:r>
    </w:p>
    <w:p w:rsidR="0081054D" w:rsidRDefault="006C55DF" w:rsidP="0081054D">
      <w:pPr>
        <w:spacing w:after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  <w:r w:rsidR="0081054D">
        <w:rPr>
          <w:rFonts w:ascii="Times New Roman" w:hAnsi="Times New Roman" w:cs="Times New Roman"/>
          <w:color w:val="000000"/>
        </w:rPr>
        <w:t xml:space="preserve"> </w:t>
      </w:r>
    </w:p>
    <w:p w:rsidR="0081054D" w:rsidRDefault="006C55DF" w:rsidP="0081054D">
      <w:pPr>
        <w:spacing w:after="0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  <w:r w:rsidR="0081054D">
        <w:rPr>
          <w:rFonts w:ascii="Times New Roman" w:hAnsi="Times New Roman" w:cs="Times New Roman"/>
          <w:color w:val="000000"/>
        </w:rPr>
        <w:t xml:space="preserve"> </w:t>
      </w:r>
    </w:p>
    <w:p w:rsidR="0081054D" w:rsidRDefault="006C55DF" w:rsidP="0081054D">
      <w:pPr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Crime – Robbery with violence – Whether there was proper identification of the accused.</w:t>
      </w:r>
      <w:r w:rsidR="0081054D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[2] Criminal Procedure – Alibi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of alibi rejected on basis of collateral challenge to</w:t>
      </w:r>
      <w:r w:rsidR="0081054D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different evidence – Alibi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not considered on its merits in the first appeal – Whether there was an</w:t>
      </w:r>
      <w:r w:rsidR="0081054D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error of law entitling the accused to an acquittal.</w:t>
      </w:r>
      <w:r w:rsidR="0081054D"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81054D" w:rsidRDefault="0081054D" w:rsidP="0081054D">
      <w:pPr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JUDGMENT </w:t>
      </w:r>
    </w:p>
    <w:p w:rsidR="0081054D" w:rsidRDefault="006C55DF" w:rsidP="0081054D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OMOLO, GITHINJI JJA AND ONYANGO OTIENO AJ: </w:t>
      </w:r>
      <w:r>
        <w:rPr>
          <w:rFonts w:ascii="Times New Roman" w:hAnsi="Times New Roman" w:cs="Times New Roman"/>
          <w:color w:val="000000"/>
        </w:rPr>
        <w:t>The charge that was brought against the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in the subordinate court at </w:t>
      </w:r>
      <w:proofErr w:type="spellStart"/>
      <w:r>
        <w:rPr>
          <w:rFonts w:ascii="Times New Roman" w:hAnsi="Times New Roman" w:cs="Times New Roman"/>
          <w:color w:val="000000"/>
        </w:rPr>
        <w:t>Homa</w:t>
      </w:r>
      <w:proofErr w:type="spellEnd"/>
      <w:r>
        <w:rPr>
          <w:rFonts w:ascii="Times New Roman" w:hAnsi="Times New Roman" w:cs="Times New Roman"/>
          <w:color w:val="000000"/>
        </w:rPr>
        <w:t xml:space="preserve"> Bay was that of robbery with violence contrary to section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296(2) of the Penal Code. On 10 March 2002, at night, </w:t>
      </w:r>
      <w:proofErr w:type="spellStart"/>
      <w:r>
        <w:rPr>
          <w:rFonts w:ascii="Times New Roman" w:hAnsi="Times New Roman" w:cs="Times New Roman"/>
          <w:color w:val="000000"/>
        </w:rPr>
        <w:t>Peterlis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Anduko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Ayuago</w:t>
      </w:r>
      <w:proofErr w:type="spellEnd"/>
      <w:r>
        <w:rPr>
          <w:rFonts w:ascii="Times New Roman" w:hAnsi="Times New Roman" w:cs="Times New Roman"/>
          <w:color w:val="000000"/>
        </w:rPr>
        <w:t xml:space="preserve"> (PW1), (whom we shall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refer to in this judgment as the complainant) and his wife </w:t>
      </w:r>
      <w:proofErr w:type="spellStart"/>
      <w:r>
        <w:rPr>
          <w:rFonts w:ascii="Times New Roman" w:hAnsi="Times New Roman" w:cs="Times New Roman"/>
          <w:color w:val="000000"/>
        </w:rPr>
        <w:t>Roselida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Owino</w:t>
      </w:r>
      <w:proofErr w:type="spellEnd"/>
      <w:r>
        <w:rPr>
          <w:rFonts w:ascii="Times New Roman" w:hAnsi="Times New Roman" w:cs="Times New Roman"/>
          <w:color w:val="000000"/>
        </w:rPr>
        <w:t xml:space="preserve"> (PW2) were in their house. It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would appear that it was raining at the relevant time as </w:t>
      </w:r>
      <w:proofErr w:type="spellStart"/>
      <w:r>
        <w:rPr>
          <w:rFonts w:ascii="Times New Roman" w:hAnsi="Times New Roman" w:cs="Times New Roman"/>
          <w:color w:val="000000"/>
        </w:rPr>
        <w:t>Roselida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Owino</w:t>
      </w:r>
      <w:proofErr w:type="spellEnd"/>
      <w:r>
        <w:rPr>
          <w:rFonts w:ascii="Times New Roman" w:hAnsi="Times New Roman" w:cs="Times New Roman"/>
          <w:color w:val="000000"/>
        </w:rPr>
        <w:t xml:space="preserve"> went out to tap water. As she was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returning into the house, two people attacked them. They cut </w:t>
      </w:r>
      <w:proofErr w:type="spellStart"/>
      <w:r>
        <w:rPr>
          <w:rFonts w:ascii="Times New Roman" w:hAnsi="Times New Roman" w:cs="Times New Roman"/>
          <w:color w:val="000000"/>
        </w:rPr>
        <w:t>Roselida</w:t>
      </w:r>
      <w:proofErr w:type="spellEnd"/>
      <w:r>
        <w:rPr>
          <w:rFonts w:ascii="Times New Roman" w:hAnsi="Times New Roman" w:cs="Times New Roman"/>
          <w:color w:val="000000"/>
        </w:rPr>
        <w:t xml:space="preserve"> on the hand and demanded money.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she said she had no money, they turned to the complainant and cut him on the hands, on the head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stepped on him. The complainant told them to take all the money he had which was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12 000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being the proceeds of two bulls he had sold recently and which money the complainant had kept in his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pocket. They took the money. They had 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simis</w:t>
      </w:r>
      <w:proofErr w:type="spellEnd"/>
      <w:r>
        <w:rPr>
          <w:rFonts w:ascii="Times New Roman" w:hAnsi="Times New Roman" w:cs="Times New Roman"/>
          <w:color w:val="000000"/>
        </w:rPr>
        <w:t>. Complainant said in evidence that he was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able to </w:t>
      </w:r>
      <w:proofErr w:type="spellStart"/>
      <w:r>
        <w:rPr>
          <w:rFonts w:ascii="Times New Roman" w:hAnsi="Times New Roman" w:cs="Times New Roman"/>
          <w:color w:val="000000"/>
        </w:rPr>
        <w:t>recognise</w:t>
      </w:r>
      <w:proofErr w:type="spellEnd"/>
      <w:r>
        <w:rPr>
          <w:rFonts w:ascii="Times New Roman" w:hAnsi="Times New Roman" w:cs="Times New Roman"/>
          <w:color w:val="000000"/>
        </w:rPr>
        <w:t xml:space="preserve"> one of the attackers and that was the appellant. There was a lamp in the house which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enabled him to see the attackers. Further, the complainant knew the appellant before the incident as the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the son of the complaint’s uncle and came from the same village as the complainant. After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attackers left, the complainant raised an alarm and his </w:t>
      </w:r>
      <w:proofErr w:type="spellStart"/>
      <w:r>
        <w:rPr>
          <w:rFonts w:ascii="Times New Roman" w:hAnsi="Times New Roman" w:cs="Times New Roman"/>
          <w:color w:val="000000"/>
        </w:rPr>
        <w:t>neighbours</w:t>
      </w:r>
      <w:proofErr w:type="spellEnd"/>
      <w:r>
        <w:rPr>
          <w:rFonts w:ascii="Times New Roman" w:hAnsi="Times New Roman" w:cs="Times New Roman"/>
          <w:color w:val="000000"/>
        </w:rPr>
        <w:t xml:space="preserve"> came to his compound. One of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those who came was PW3 who alleged that he could not rescue the complainant earlier because the door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his house was tied with a rope from outside and could not open until he forcefully made it open. The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complainant and some </w:t>
      </w:r>
      <w:proofErr w:type="spellStart"/>
      <w:r>
        <w:rPr>
          <w:rFonts w:ascii="Times New Roman" w:hAnsi="Times New Roman" w:cs="Times New Roman"/>
          <w:color w:val="000000"/>
        </w:rPr>
        <w:t>neighbours</w:t>
      </w:r>
      <w:proofErr w:type="spellEnd"/>
      <w:r>
        <w:rPr>
          <w:rFonts w:ascii="Times New Roman" w:hAnsi="Times New Roman" w:cs="Times New Roman"/>
          <w:color w:val="000000"/>
        </w:rPr>
        <w:t xml:space="preserve"> reported the incident to the chief and then went to </w:t>
      </w:r>
      <w:proofErr w:type="spellStart"/>
      <w:r>
        <w:rPr>
          <w:rFonts w:ascii="Times New Roman" w:hAnsi="Times New Roman" w:cs="Times New Roman"/>
          <w:color w:val="000000"/>
        </w:rPr>
        <w:t>Magunga</w:t>
      </w:r>
      <w:proofErr w:type="spellEnd"/>
      <w:r>
        <w:rPr>
          <w:rFonts w:ascii="Times New Roman" w:hAnsi="Times New Roman" w:cs="Times New Roman"/>
          <w:color w:val="000000"/>
        </w:rPr>
        <w:t xml:space="preserve"> health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centre</w:t>
      </w:r>
      <w:proofErr w:type="spellEnd"/>
      <w:r>
        <w:rPr>
          <w:rFonts w:ascii="Times New Roman" w:hAnsi="Times New Roman" w:cs="Times New Roman"/>
          <w:color w:val="000000"/>
        </w:rPr>
        <w:t xml:space="preserve"> for treatment. </w:t>
      </w:r>
      <w:r w:rsidR="0081054D">
        <w:rPr>
          <w:rFonts w:ascii="Times New Roman" w:hAnsi="Times New Roman" w:cs="Times New Roman"/>
          <w:color w:val="000000"/>
        </w:rPr>
        <w:t>Complainant</w:t>
      </w:r>
      <w:r>
        <w:rPr>
          <w:rFonts w:ascii="Times New Roman" w:hAnsi="Times New Roman" w:cs="Times New Roman"/>
          <w:color w:val="000000"/>
        </w:rPr>
        <w:t xml:space="preserve"> was treated and discharged. He then made a report at </w:t>
      </w:r>
      <w:proofErr w:type="spellStart"/>
      <w:r>
        <w:rPr>
          <w:rFonts w:ascii="Times New Roman" w:hAnsi="Times New Roman" w:cs="Times New Roman"/>
          <w:color w:val="000000"/>
        </w:rPr>
        <w:t>Magunga</w:t>
      </w:r>
      <w:proofErr w:type="spellEnd"/>
      <w:r>
        <w:rPr>
          <w:rFonts w:ascii="Times New Roman" w:hAnsi="Times New Roman" w:cs="Times New Roman"/>
          <w:color w:val="000000"/>
        </w:rPr>
        <w:t xml:space="preserve"> police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post on the next day 11 March 2002 where he was issued with a P3 form which he took to </w:t>
      </w:r>
      <w:proofErr w:type="spellStart"/>
      <w:r>
        <w:rPr>
          <w:rFonts w:ascii="Times New Roman" w:hAnsi="Times New Roman" w:cs="Times New Roman"/>
          <w:color w:val="000000"/>
        </w:rPr>
        <w:t>Magunga</w:t>
      </w:r>
      <w:proofErr w:type="spellEnd"/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Health Centre. In the meanwhile, the appellant had also reported to the chief of </w:t>
      </w:r>
      <w:proofErr w:type="spellStart"/>
      <w:r>
        <w:rPr>
          <w:rFonts w:ascii="Times New Roman" w:hAnsi="Times New Roman" w:cs="Times New Roman"/>
          <w:color w:val="000000"/>
        </w:rPr>
        <w:t>Gwasi</w:t>
      </w:r>
      <w:proofErr w:type="spellEnd"/>
      <w:r>
        <w:rPr>
          <w:rFonts w:ascii="Times New Roman" w:hAnsi="Times New Roman" w:cs="Times New Roman"/>
          <w:color w:val="000000"/>
        </w:rPr>
        <w:t xml:space="preserve"> location (PW4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whom we shall refer to as the chief) complaining that he was being wrongly implicated in the robbery.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chief escorted him to </w:t>
      </w:r>
      <w:proofErr w:type="spellStart"/>
      <w:r>
        <w:rPr>
          <w:rFonts w:ascii="Times New Roman" w:hAnsi="Times New Roman" w:cs="Times New Roman"/>
          <w:color w:val="000000"/>
        </w:rPr>
        <w:t>Magunga</w:t>
      </w:r>
      <w:proofErr w:type="spellEnd"/>
      <w:r>
        <w:rPr>
          <w:rFonts w:ascii="Times New Roman" w:hAnsi="Times New Roman" w:cs="Times New Roman"/>
          <w:color w:val="000000"/>
        </w:rPr>
        <w:t xml:space="preserve"> police post and handed him over to the police who included PC </w:t>
      </w:r>
      <w:proofErr w:type="spellStart"/>
      <w:r>
        <w:rPr>
          <w:rFonts w:ascii="Times New Roman" w:hAnsi="Times New Roman" w:cs="Times New Roman"/>
          <w:color w:val="000000"/>
        </w:rPr>
        <w:t>Jomo</w:t>
      </w:r>
      <w:proofErr w:type="spellEnd"/>
      <w:r w:rsidR="0081054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Chapia</w:t>
      </w:r>
      <w:proofErr w:type="spellEnd"/>
      <w:r>
        <w:rPr>
          <w:rFonts w:ascii="Times New Roman" w:hAnsi="Times New Roman" w:cs="Times New Roman"/>
          <w:color w:val="000000"/>
        </w:rPr>
        <w:t xml:space="preserve"> (PW5) who arrested him and later escorted him to </w:t>
      </w:r>
      <w:proofErr w:type="spellStart"/>
      <w:r>
        <w:rPr>
          <w:rFonts w:ascii="Times New Roman" w:hAnsi="Times New Roman" w:cs="Times New Roman"/>
          <w:color w:val="000000"/>
        </w:rPr>
        <w:t>Mbita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 where he was charged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the offence.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the appellant first raised an alibi, stating that on the date of the incident, he had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transported farm produce on a donkey to a customer at </w:t>
      </w:r>
      <w:proofErr w:type="spellStart"/>
      <w:r>
        <w:rPr>
          <w:rFonts w:ascii="Times New Roman" w:hAnsi="Times New Roman" w:cs="Times New Roman"/>
          <w:color w:val="000000"/>
        </w:rPr>
        <w:t>Sindo</w:t>
      </w:r>
      <w:proofErr w:type="spellEnd"/>
      <w:r>
        <w:rPr>
          <w:rFonts w:ascii="Times New Roman" w:hAnsi="Times New Roman" w:cs="Times New Roman"/>
          <w:color w:val="000000"/>
        </w:rPr>
        <w:t>. As the customer arrived at the meeting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venue at 5:00pm and as it rained briefly that day, he could not return home and he stayed the night at a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lodging at </w:t>
      </w:r>
      <w:proofErr w:type="spellStart"/>
      <w:r>
        <w:rPr>
          <w:rFonts w:ascii="Times New Roman" w:hAnsi="Times New Roman" w:cs="Times New Roman"/>
          <w:color w:val="000000"/>
        </w:rPr>
        <w:t>Sindo</w:t>
      </w:r>
      <w:proofErr w:type="spellEnd"/>
      <w:r>
        <w:rPr>
          <w:rFonts w:ascii="Times New Roman" w:hAnsi="Times New Roman" w:cs="Times New Roman"/>
          <w:color w:val="000000"/>
        </w:rPr>
        <w:t xml:space="preserve">. Next morning on 11 March 2002, he boarded a </w:t>
      </w:r>
      <w:proofErr w:type="spellStart"/>
      <w:r>
        <w:rPr>
          <w:rFonts w:ascii="Times New Roman" w:hAnsi="Times New Roman" w:cs="Times New Roman"/>
          <w:color w:val="000000"/>
        </w:rPr>
        <w:t>matatu</w:t>
      </w:r>
      <w:proofErr w:type="spellEnd"/>
      <w:r>
        <w:rPr>
          <w:rFonts w:ascii="Times New Roman" w:hAnsi="Times New Roman" w:cs="Times New Roman"/>
          <w:color w:val="000000"/>
        </w:rPr>
        <w:t xml:space="preserve"> back home. He produced receipt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lodging and receipt of </w:t>
      </w:r>
      <w:proofErr w:type="spellStart"/>
      <w:r>
        <w:rPr>
          <w:rFonts w:ascii="Times New Roman" w:hAnsi="Times New Roman" w:cs="Times New Roman"/>
          <w:color w:val="000000"/>
        </w:rPr>
        <w:t>matatu</w:t>
      </w:r>
      <w:proofErr w:type="spellEnd"/>
      <w:r>
        <w:rPr>
          <w:rFonts w:ascii="Times New Roman" w:hAnsi="Times New Roman" w:cs="Times New Roman"/>
          <w:color w:val="000000"/>
        </w:rPr>
        <w:t xml:space="preserve"> as Exhibit D1 and D2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respectively. On arrival home, he together with his wife took some crates of tomatoes to </w:t>
      </w:r>
      <w:proofErr w:type="spellStart"/>
      <w:r>
        <w:rPr>
          <w:rFonts w:ascii="Times New Roman" w:hAnsi="Times New Roman" w:cs="Times New Roman"/>
          <w:color w:val="000000"/>
        </w:rPr>
        <w:t>Magunga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was when the chief told him for the first time that he was a suspect in a robbery that had taken place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the complainant. The chief arrested him and took him to the police post where he was rearrested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later taken to </w:t>
      </w:r>
      <w:proofErr w:type="spellStart"/>
      <w:r>
        <w:rPr>
          <w:rFonts w:ascii="Times New Roman" w:hAnsi="Times New Roman" w:cs="Times New Roman"/>
          <w:color w:val="000000"/>
        </w:rPr>
        <w:t>Mbita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 and he was later arraigned before court. Secondly, the appellant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claimed that the complainant had a land dispute with his father.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After full hearing, the trial court found the appellant guilty, convicted him of the offence and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sentenced him to death. He appealed to </w:t>
      </w:r>
      <w:r>
        <w:rPr>
          <w:rFonts w:ascii="Times New Roman" w:hAnsi="Times New Roman" w:cs="Times New Roman"/>
          <w:color w:val="000000"/>
        </w:rPr>
        <w:lastRenderedPageBreak/>
        <w:t>the superior court but the same court dismissed the appeal.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is a second appeal and thus, we are bound to consider the appeal on matters of law only. We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reiterate and </w:t>
      </w:r>
      <w:proofErr w:type="spellStart"/>
      <w:r>
        <w:rPr>
          <w:rFonts w:ascii="Times New Roman" w:hAnsi="Times New Roman" w:cs="Times New Roman"/>
          <w:color w:val="000000"/>
        </w:rPr>
        <w:t>emphasise</w:t>
      </w:r>
      <w:proofErr w:type="spellEnd"/>
      <w:r>
        <w:rPr>
          <w:rFonts w:ascii="Times New Roman" w:hAnsi="Times New Roman" w:cs="Times New Roman"/>
          <w:color w:val="000000"/>
        </w:rPr>
        <w:t xml:space="preserve"> this Courts’ decision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Njoroge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[1982-88] 1 KAR 134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where it was held,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as follows: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“1. It is the duty of the first appellate court to remember that parties are entitled to demand of the Court of</w:t>
      </w:r>
      <w:r w:rsidR="008105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first appeal a decision on both questions of fact and of law, and the Court is required to weigh</w:t>
      </w:r>
      <w:r w:rsidR="008105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conflicting evidence and draw its own inference and conclusions, bearing in mind always that it has</w:t>
      </w:r>
      <w:r w:rsidR="008105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neither seen nor heard the witness and make due allowance for this”.</w:t>
      </w:r>
      <w:r w:rsidR="008105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is with the above in mind that we now consider this appeal. The appellant, as we have stated raised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mainly two </w:t>
      </w:r>
      <w:proofErr w:type="spellStart"/>
      <w:r>
        <w:rPr>
          <w:rFonts w:ascii="Times New Roman" w:hAnsi="Times New Roman" w:cs="Times New Roman"/>
          <w:color w:val="000000"/>
        </w:rPr>
        <w:t>defences</w:t>
      </w:r>
      <w:proofErr w:type="spellEnd"/>
      <w:r>
        <w:rPr>
          <w:rFonts w:ascii="Times New Roman" w:hAnsi="Times New Roman" w:cs="Times New Roman"/>
          <w:color w:val="000000"/>
        </w:rPr>
        <w:t>. The first was one of alibi and the second was that there were grudges between the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appellant’s father and the complainant. Our understanding of the appellants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is that he could not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properly identified as he was not at the scene of the robbery and the complainant’s evidence together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that of his wife and his grandson were all fabricated stories against him. On the other hand the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complainant and his wife were certain in their evidence that the appellant was one of their attackers.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These were conflicting versions and demanded that the trial court had to carefully consider, </w:t>
      </w:r>
      <w:proofErr w:type="spellStart"/>
      <w:r>
        <w:rPr>
          <w:rFonts w:ascii="Times New Roman" w:hAnsi="Times New Roman" w:cs="Times New Roman"/>
          <w:color w:val="000000"/>
        </w:rPr>
        <w:t>analyse</w:t>
      </w:r>
      <w:proofErr w:type="spellEnd"/>
      <w:r>
        <w:rPr>
          <w:rFonts w:ascii="Times New Roman" w:hAnsi="Times New Roman" w:cs="Times New Roman"/>
          <w:color w:val="000000"/>
        </w:rPr>
        <w:t xml:space="preserve"> and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evaluate the evidence that was before him both by the prosecution’s witnesses and the appellant. He had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consider whether the circumstances for identification were </w:t>
      </w:r>
      <w:proofErr w:type="spellStart"/>
      <w:r>
        <w:rPr>
          <w:rFonts w:ascii="Times New Roman" w:hAnsi="Times New Roman" w:cs="Times New Roman"/>
          <w:color w:val="000000"/>
        </w:rPr>
        <w:t>favourable</w:t>
      </w:r>
      <w:proofErr w:type="spellEnd"/>
      <w:r>
        <w:rPr>
          <w:rFonts w:ascii="Times New Roman" w:hAnsi="Times New Roman" w:cs="Times New Roman"/>
          <w:color w:val="000000"/>
        </w:rPr>
        <w:t xml:space="preserve"> or not. He had to consider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whether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alibi was well founded and whether it was properly displaced by the prosecution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case. The consideration had to clearly be </w:t>
      </w:r>
      <w:proofErr w:type="spellStart"/>
      <w:r>
        <w:rPr>
          <w:rFonts w:ascii="Times New Roman" w:hAnsi="Times New Roman" w:cs="Times New Roman"/>
          <w:color w:val="000000"/>
        </w:rPr>
        <w:t>born</w:t>
      </w:r>
      <w:proofErr w:type="spellEnd"/>
      <w:r>
        <w:rPr>
          <w:rFonts w:ascii="Times New Roman" w:hAnsi="Times New Roman" w:cs="Times New Roman"/>
          <w:color w:val="000000"/>
        </w:rPr>
        <w:t xml:space="preserve"> out by the record. Equally, the first appellate court, as was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stated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Njoroge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had a duty to carefully </w:t>
      </w:r>
      <w:proofErr w:type="spellStart"/>
      <w:r>
        <w:rPr>
          <w:rFonts w:ascii="Times New Roman" w:hAnsi="Times New Roman" w:cs="Times New Roman"/>
          <w:color w:val="000000"/>
        </w:rPr>
        <w:t>analyse</w:t>
      </w:r>
      <w:proofErr w:type="spellEnd"/>
      <w:r>
        <w:rPr>
          <w:rFonts w:ascii="Times New Roman" w:hAnsi="Times New Roman" w:cs="Times New Roman"/>
          <w:color w:val="000000"/>
        </w:rPr>
        <w:t xml:space="preserve"> and weigh conflicting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and draw its own conclusion on the same, bearing in mind that it had not seen or heard the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witnesses.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alibi raised by the appellant, the Learned Magistrate mentioned the same in his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summary of the evidence before him but in his consideration of same, he stated as follows: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“Turning to the accused alibi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the effect that he spent the night in question 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Sindo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trading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centre</w:t>
      </w:r>
      <w:proofErr w:type="spellEnd"/>
      <w:r w:rsidR="008105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where he had gone to sell maize and tomatoes and that upon his return back home the following day he was</w:t>
      </w:r>
      <w:r w:rsidR="008105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summoned by PW4 at about 4pm and asked if he knew about the robbery which he denied, PW4 did confirm</w:t>
      </w:r>
      <w:r w:rsidR="008105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before the Court that in fact it was the accused who presented himself at his office on his own account to</w:t>
      </w:r>
      <w:r w:rsidR="008105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report that he was being wrongly implicated with robbery that had taken place in PW1’s home the previous</w:t>
      </w:r>
      <w:r w:rsidR="008105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night. The open lie by the accused is an indication of guilt. The receipt and ticket (Exhibit D1 and 2) did not</w:t>
      </w:r>
      <w:r w:rsidR="008105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appear genuine and are documents that can only be obtained without any difficulty. I reject the accused alibi</w:t>
      </w:r>
      <w:r w:rsidR="008105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an afterthought”.</w:t>
      </w:r>
      <w:r w:rsidR="008105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We have perused the entire record of appeal and particularly the proceedings. We cannot see any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adduced either by the prosecution or by the appellant that would justify the conclusion the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Magistrate came to, namely that the appellant’s alibi was an open lie and an indication of guilt.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may not have been truthful when he said that PW4 summoned him and asked him if he knew about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robbery at the complainant’s home but the burden was on the prosecution to displace his alibi.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prosecution did not lead any evidence from which one could conclude that the two receipts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produced by the appellant were false. The Learned trial Magistrate rejected them on the basis that the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might have told a lie on a different point. The High Court did not make any findings of its own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the alibi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. We do not know if the High Court would have come to the same conclusion as the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on that point. On a second appeal, we must resolve that doubt in favour of the appellant with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result that the appellant’s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alibi was wrongly rejected by the trial court and the first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appellate court merely endorsed that rejection. That entitles us to interfere with the findings of the two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courts.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also claimed that the complaint was made as a result of grudge between the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complainant and the appellant’s father over a piece of land that was in dispute between the two. The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Learned trial Magistrate did not consider this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and never made any finding on it. The superior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dismissed it stating that the issue was introduced by the appellant late and was not accorded an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opportunity to be tested and countered and stated further as follows: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most cases it can be assumed to have been an afterthought.</w:t>
      </w:r>
      <w:r w:rsidR="008105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our minds, it is our believe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that had the appellant genuinely known that there was a land dispute in</w:t>
      </w:r>
      <w:r w:rsidR="008105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existence and that was going to form the basis of his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then this should have come out much</w:t>
      </w:r>
      <w:r w:rsidR="008105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earlier rather </w:t>
      </w:r>
      <w:r w:rsidR="0081054D">
        <w:rPr>
          <w:rFonts w:ascii="Times New Roman" w:hAnsi="Times New Roman" w:cs="Times New Roman"/>
          <w:color w:val="000000"/>
          <w:sz w:val="20"/>
          <w:szCs w:val="20"/>
        </w:rPr>
        <w:t>than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keeping it in his bosom as last weapon which could not be tested in cross examination</w:t>
      </w:r>
      <w:r w:rsidR="008105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when raised”.</w:t>
      </w:r>
      <w:r w:rsidR="008105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Court ended its observation by saying that the trial Magistrate must have seen the issue was of no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probative value. It did </w:t>
      </w:r>
      <w:r>
        <w:rPr>
          <w:rFonts w:ascii="Times New Roman" w:hAnsi="Times New Roman" w:cs="Times New Roman"/>
          <w:color w:val="000000"/>
        </w:rPr>
        <w:lastRenderedPageBreak/>
        <w:t>not make any decision on the issue and in our humble opinion, abdicated its role of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analysing</w:t>
      </w:r>
      <w:proofErr w:type="spellEnd"/>
      <w:r>
        <w:rPr>
          <w:rFonts w:ascii="Times New Roman" w:hAnsi="Times New Roman" w:cs="Times New Roman"/>
          <w:color w:val="000000"/>
        </w:rPr>
        <w:t xml:space="preserve"> that evidence (considering that the appellant was unrepresented, and that the appellant was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facing a serious charge which carried the death sentence) and making its own conclusion on the same. As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stands, all that superior court did was to state that the matter was introduced late and as there was no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opportunity to cross-examine on it, the trial court found it was not of probative value. That evidence was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record and deserved to be fully considered and either dismissed or accepted.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one other matter that we feel should have been given some consideration. The chief stated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his evidence in chief as follows: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“They informed me that they had been attacked the previous night by some thugs and that they could identify</w:t>
      </w:r>
      <w:r w:rsidR="008105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one of them. They reported that they were robbed of money and they suspected one Lucas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Okinyi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because he</w:t>
      </w:r>
      <w:r w:rsidR="008105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had seen them selling an animal”.</w:t>
      </w:r>
      <w:r w:rsidR="008105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record does not show that both the trial Magistrate and the superior court considered this evidence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did show that the complainant suspected the appellant merely because, the appellant was present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 complainant was selling his (complainant’s) animals. This was conflicting evidence when one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considers complainant’s other evidence that he saw the appellant at the scene of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robbery and the definite evidence that it was the appellant together with another person who actually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attacked them. We do not say that anything would have necessarily turned on this evidence, but it was the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duty of the two courts below to consider it together with other evidence. If that was done, it is possible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 different conclusion could have been arrived at.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consequence of all the above is that we do not have the benefit of the evaluation by the superior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of the effect in its analysis of the evidence against and for the appellant on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alibi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raised by the appellant. Equally we do not have the benefit of the trial courts analysis of evidence on the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of grudge between appellant’s father and the complainant and the effect of the same on the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entire case. That situation was not made better by the superior court in its declining to </w:t>
      </w:r>
      <w:proofErr w:type="spellStart"/>
      <w:r>
        <w:rPr>
          <w:rFonts w:ascii="Times New Roman" w:hAnsi="Times New Roman" w:cs="Times New Roman"/>
          <w:color w:val="000000"/>
        </w:rPr>
        <w:t>analyse</w:t>
      </w:r>
      <w:proofErr w:type="spellEnd"/>
      <w:r>
        <w:rPr>
          <w:rFonts w:ascii="Times New Roman" w:hAnsi="Times New Roman" w:cs="Times New Roman"/>
          <w:color w:val="000000"/>
        </w:rPr>
        <w:t xml:space="preserve"> the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raised by the appellant of the grudges and the effect of the same on the case and lastly, the trial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and the superior court did not consider the effect of the evidence of PW4 on the entire case. As we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have stated hereinabove, after </w:t>
      </w:r>
      <w:proofErr w:type="spellStart"/>
      <w:r>
        <w:rPr>
          <w:rFonts w:ascii="Times New Roman" w:hAnsi="Times New Roman" w:cs="Times New Roman"/>
          <w:color w:val="000000"/>
        </w:rPr>
        <w:t>analysing</w:t>
      </w:r>
      <w:proofErr w:type="spellEnd"/>
      <w:r>
        <w:rPr>
          <w:rFonts w:ascii="Times New Roman" w:hAnsi="Times New Roman" w:cs="Times New Roman"/>
          <w:color w:val="000000"/>
        </w:rPr>
        <w:t xml:space="preserve"> the same, they might have reached the same conclusion or they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might have reached a different conclusion, but what is important is that they should have </w:t>
      </w:r>
      <w:proofErr w:type="spellStart"/>
      <w:r>
        <w:rPr>
          <w:rFonts w:ascii="Times New Roman" w:hAnsi="Times New Roman" w:cs="Times New Roman"/>
          <w:color w:val="000000"/>
        </w:rPr>
        <w:t>analysed</w:t>
      </w:r>
      <w:proofErr w:type="spellEnd"/>
      <w:r>
        <w:rPr>
          <w:rFonts w:ascii="Times New Roman" w:hAnsi="Times New Roman" w:cs="Times New Roman"/>
          <w:color w:val="000000"/>
        </w:rPr>
        <w:t xml:space="preserve"> the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same </w:t>
      </w:r>
      <w:proofErr w:type="spellStart"/>
      <w:r>
        <w:rPr>
          <w:rFonts w:ascii="Times New Roman" w:hAnsi="Times New Roman" w:cs="Times New Roman"/>
          <w:color w:val="000000"/>
        </w:rPr>
        <w:t>defences</w:t>
      </w:r>
      <w:proofErr w:type="spellEnd"/>
      <w:r>
        <w:rPr>
          <w:rFonts w:ascii="Times New Roman" w:hAnsi="Times New Roman" w:cs="Times New Roman"/>
          <w:color w:val="000000"/>
        </w:rPr>
        <w:t xml:space="preserve"> and the evidence of PW4 before reaching a conclusion either way. Without the same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analysis, there is a doubt as to what would have been their conclusion had they </w:t>
      </w:r>
      <w:proofErr w:type="spellStart"/>
      <w:r>
        <w:rPr>
          <w:rFonts w:ascii="Times New Roman" w:hAnsi="Times New Roman" w:cs="Times New Roman"/>
          <w:color w:val="000000"/>
        </w:rPr>
        <w:t>analysed</w:t>
      </w:r>
      <w:proofErr w:type="spellEnd"/>
      <w:r>
        <w:rPr>
          <w:rFonts w:ascii="Times New Roman" w:hAnsi="Times New Roman" w:cs="Times New Roman"/>
          <w:color w:val="000000"/>
        </w:rPr>
        <w:t xml:space="preserve"> the same. The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same doubt must go to the appellant.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we allow this appeal, as we must do, we need to comment on the manner P3 (Exhibit 1) was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produced and the way it was dealt with by the trial court and the superior court. Section 77(1) allows any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document purporting to be a report under hand of a government analyst, medical practitioner or any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ballistics expert, document examiner or geologist upon any person, matter or thing submitted to him for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examination or analysis to be used in evidence. The same could be produced by a police officer as was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done in this case provided the accused does not object. It is however necessary that in a case such as this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 an accused person is not represented by a counsel, that the accused be made aware of the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consequences of the P3 or such other documents being produced by the police in the absence of the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maker of such a document. The Court should explain to the accused his right to insist on seeking to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cross-examine the maker if he so wishes. In this case, the appellant should have been made aware that he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seek to cross-examine the maker of P3 if we so wished. That was not done but we make haste to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add that in our view, nothing turns on that omission as in any case the ingredients of the offence of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robbery were satisfied even if injuries were not proved.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allow this appeal, quash conviction and set aside the sentence. The appellant is set at liberty</w:t>
      </w:r>
      <w:r w:rsidR="0081054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unless otherwise lawfully held.</w:t>
      </w:r>
    </w:p>
    <w:p w:rsidR="0021070D" w:rsidRDefault="0081054D" w:rsidP="0081054D">
      <w:pPr>
        <w:jc w:val="center"/>
      </w:pPr>
      <w:r>
        <w:rPr>
          <w:rFonts w:ascii="Times New Roman" w:hAnsi="Times New Roman" w:cs="Times New Roman"/>
          <w:color w:val="000000"/>
        </w:rPr>
        <w:t xml:space="preserve"> </w:t>
      </w:r>
      <w:r w:rsidR="006C55DF">
        <w:rPr>
          <w:rFonts w:ascii="Times New Roman" w:hAnsi="Times New Roman" w:cs="Times New Roman"/>
          <w:color w:val="000000"/>
        </w:rPr>
        <w:t>For the appellant:</w:t>
      </w:r>
      <w:r>
        <w:rPr>
          <w:rFonts w:ascii="Times New Roman" w:hAnsi="Times New Roman" w:cs="Times New Roman"/>
          <w:color w:val="000000"/>
        </w:rPr>
        <w:t xml:space="preserve"> </w:t>
      </w:r>
      <w:r w:rsidR="006C55DF">
        <w:rPr>
          <w:rFonts w:ascii="Times New Roman" w:hAnsi="Times New Roman" w:cs="Times New Roman"/>
          <w:i/>
          <w:iCs/>
          <w:color w:val="000000"/>
        </w:rPr>
        <w:t>Information not available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gramStart"/>
      <w:r w:rsidR="006C55DF">
        <w:rPr>
          <w:rFonts w:ascii="Times New Roman" w:hAnsi="Times New Roman" w:cs="Times New Roman"/>
          <w:color w:val="000000"/>
        </w:rPr>
        <w:t>For</w:t>
      </w:r>
      <w:proofErr w:type="gramEnd"/>
      <w:r w:rsidR="006C55DF">
        <w:rPr>
          <w:rFonts w:ascii="Times New Roman" w:hAnsi="Times New Roman" w:cs="Times New Roman"/>
          <w:color w:val="000000"/>
        </w:rPr>
        <w:t xml:space="preserve"> the respondent:</w:t>
      </w:r>
      <w:r>
        <w:rPr>
          <w:rFonts w:ascii="Times New Roman" w:hAnsi="Times New Roman" w:cs="Times New Roman"/>
          <w:color w:val="000000"/>
        </w:rPr>
        <w:t xml:space="preserve"> </w:t>
      </w:r>
      <w:r w:rsidR="006C55DF"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5DF"/>
    <w:rsid w:val="0021070D"/>
    <w:rsid w:val="006C55DF"/>
    <w:rsid w:val="0081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FB1A5-0DA6-4109-A3B1-F6832059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2032</Words>
  <Characters>11586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2018-07-04T13:02:00Z</dcterms:created>
  <dcterms:modified xsi:type="dcterms:W3CDTF">2018-07-11T14:05:00Z</dcterms:modified>
</cp:coreProperties>
</file>