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95F" w:rsidRDefault="001C595F" w:rsidP="00D553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Southern Tanganyika Game Safaris and another v Ministry of Natural</w:t>
      </w:r>
    </w:p>
    <w:p w:rsidR="001C595F" w:rsidRDefault="001C595F" w:rsidP="00D553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Resources and Tourism and others</w:t>
      </w:r>
    </w:p>
    <w:p w:rsidR="001C595F" w:rsidRDefault="001C595F" w:rsidP="00D553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1C595F" w:rsidRDefault="001C595F" w:rsidP="00D553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1C595F" w:rsidRDefault="001C595F" w:rsidP="00D553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march 2004</w:t>
      </w:r>
    </w:p>
    <w:p w:rsidR="001C595F" w:rsidRDefault="001C595F" w:rsidP="00D553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301/02</w:t>
      </w:r>
    </w:p>
    <w:p w:rsidR="001C595F" w:rsidRDefault="001C595F" w:rsidP="00D553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Kimaro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1C595F" w:rsidRDefault="001C595F" w:rsidP="00D553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C595F" w:rsidRDefault="001C595F" w:rsidP="00D553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1C595F" w:rsidRDefault="001C595F" w:rsidP="001C5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Lease agreement – Breach – Non-payment of rent and taxes – Whether lease lawfully</w:t>
      </w:r>
      <w:r w:rsidR="00D5535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terminated – Improvement done on rental property without landlord’s consent – Whether lessee may</w:t>
      </w:r>
      <w:r w:rsidR="00D5535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recover value of improvements.</w:t>
      </w:r>
    </w:p>
    <w:p w:rsidR="001C595F" w:rsidRDefault="00D5535F" w:rsidP="00D553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9504CB" w:rsidRDefault="001C595F" w:rsidP="00D5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KIMARO J: </w:t>
      </w:r>
      <w:r>
        <w:rPr>
          <w:rFonts w:ascii="Times New Roman" w:hAnsi="Times New Roman" w:cs="Times New Roman"/>
          <w:color w:val="000000"/>
        </w:rPr>
        <w:t>The plaintiff and the second defendant created a contractual relationship through a lease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(Exhibition P1). The plaintiff is a limited liability company which deals with photographic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tourism. The lease agreement allowed the plaintiff to use and occupy for its guests and tourists tents,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camps outhouses, airstrip motor vehicles and boats then used and occupied by the second defendant at a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place known as </w:t>
      </w:r>
      <w:proofErr w:type="spellStart"/>
      <w:r>
        <w:rPr>
          <w:rFonts w:ascii="Times New Roman" w:hAnsi="Times New Roman" w:cs="Times New Roman"/>
          <w:color w:val="000000"/>
        </w:rPr>
        <w:t>Mbuyu</w:t>
      </w:r>
      <w:proofErr w:type="spellEnd"/>
      <w:r>
        <w:rPr>
          <w:rFonts w:ascii="Times New Roman" w:hAnsi="Times New Roman" w:cs="Times New Roman"/>
          <w:color w:val="000000"/>
        </w:rPr>
        <w:t xml:space="preserve"> Safari Camp situated at </w:t>
      </w:r>
      <w:proofErr w:type="spellStart"/>
      <w:r>
        <w:rPr>
          <w:rFonts w:ascii="Times New Roman" w:hAnsi="Times New Roman" w:cs="Times New Roman"/>
          <w:color w:val="000000"/>
        </w:rPr>
        <w:t>Selous</w:t>
      </w:r>
      <w:proofErr w:type="spellEnd"/>
      <w:r>
        <w:rPr>
          <w:rFonts w:ascii="Times New Roman" w:hAnsi="Times New Roman" w:cs="Times New Roman"/>
          <w:color w:val="000000"/>
        </w:rPr>
        <w:t xml:space="preserve"> Game Reserves. The rent payable to the second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under the lease agreements was USD 30 000 or its equivalent in Deutsche Marks (DM) yearly.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defendant is a subsidiary/sister company of the third defendant. The third defendant holds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100% shares in the second defendant.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Exhibit P1, the plaintiff was obligated to pay all taxes and game park fee to the Ministry of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Natural Resources and Tourism as well as submission of returns. That is why the first and fourth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are also joined in the suit.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lease agreement was for 10 years, starting from 29 June 1994 (clause). The plaintiff avers that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a frustration of the contract which resulted into the termination of the contract. The plaintiff is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praying for judgment and decree against the defendants jointly and severally for the following orders:</w:t>
      </w:r>
      <w:r w:rsidR="00D5535F">
        <w:rPr>
          <w:rFonts w:ascii="Times New Roman" w:hAnsi="Times New Roman" w:cs="Times New Roman"/>
          <w:color w:val="000000"/>
        </w:rPr>
        <w:t xml:space="preserve"> </w:t>
      </w:r>
    </w:p>
    <w:p w:rsidR="009504CB" w:rsidRDefault="001C595F" w:rsidP="00D5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Declaration on the lawfulness of the lease up to the completion of the lease period.</w:t>
      </w:r>
      <w:r w:rsidR="00D5535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504CB" w:rsidRDefault="001C595F" w:rsidP="00D5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Specific damages of USD 60 000 and others mentioned in the plaint.</w:t>
      </w:r>
    </w:p>
    <w:p w:rsidR="009504CB" w:rsidRDefault="00D5535F" w:rsidP="00D5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C595F">
        <w:rPr>
          <w:rFonts w:ascii="Times New Roman" w:hAnsi="Times New Roman" w:cs="Times New Roman"/>
          <w:color w:val="000000"/>
          <w:sz w:val="20"/>
          <w:szCs w:val="20"/>
        </w:rPr>
        <w:t>(iii) General damages.</w:t>
      </w:r>
    </w:p>
    <w:p w:rsidR="009504CB" w:rsidRDefault="00D5535F" w:rsidP="00D5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1C595F">
        <w:rPr>
          <w:rFonts w:ascii="Times New Roman" w:hAnsi="Times New Roman" w:cs="Times New Roman"/>
          <w:color w:val="000000"/>
          <w:sz w:val="20"/>
          <w:szCs w:val="20"/>
        </w:rPr>
        <w:t>(iv) Interest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504CB" w:rsidRDefault="001C595F" w:rsidP="00D5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v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Costs.</w:t>
      </w:r>
      <w:r w:rsidR="00D5535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All the defendants denied liability.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 framed for the determined of the Court are:</w:t>
      </w:r>
      <w:r w:rsidR="00D5535F">
        <w:rPr>
          <w:rFonts w:ascii="Times New Roman" w:hAnsi="Times New Roman" w:cs="Times New Roman"/>
          <w:color w:val="000000"/>
        </w:rPr>
        <w:t xml:space="preserve"> </w:t>
      </w:r>
    </w:p>
    <w:p w:rsidR="009504CB" w:rsidRDefault="001C595F" w:rsidP="00D5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Whether the lease agreement was lawfully terminated.</w:t>
      </w:r>
      <w:r w:rsidR="00D5535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504CB" w:rsidRDefault="001C595F" w:rsidP="00D5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Whether the first defendants closure of the impugned camp was lawful.</w:t>
      </w:r>
      <w:r w:rsidR="00D5535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504CB" w:rsidRDefault="001C595F" w:rsidP="00D5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(iii) Whether the plaintiff suffered loss as a result of the said closure.</w:t>
      </w:r>
      <w:r w:rsidR="00D5535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504CB" w:rsidRDefault="001C595F" w:rsidP="00D5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(iv) 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relief’s are the parties entitled to.</w:t>
      </w:r>
      <w:r w:rsidR="00D5535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504CB" w:rsidRDefault="009504CB" w:rsidP="00D5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C595F" w:rsidRPr="00D5535F" w:rsidRDefault="001C595F" w:rsidP="00D5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On the first issue both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Chidowo</w:t>
      </w:r>
      <w:proofErr w:type="spellEnd"/>
      <w:r>
        <w:rPr>
          <w:rFonts w:ascii="Times New Roman" w:hAnsi="Times New Roman" w:cs="Times New Roman"/>
          <w:color w:val="000000"/>
        </w:rPr>
        <w:t>, the Learned State Attorney who appeared for the first and fourth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defendants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Mujulizi</w:t>
      </w:r>
      <w:proofErr w:type="spellEnd"/>
      <w:r>
        <w:rPr>
          <w:rFonts w:ascii="Times New Roman" w:hAnsi="Times New Roman" w:cs="Times New Roman"/>
          <w:color w:val="000000"/>
        </w:rPr>
        <w:t>, the learned advocate who appeared for the third defendant submitted that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issue should be answered affirmatively because the circumstances justified the termination of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same. They both said that the evidence tendered by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witnesses and the plaintiffs own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admission, was that the plaintiff fell in arrears of reserved rent and government taxes. The Court was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the terms of the lease agreement on the payment of rent and taxes as well as section 37(1) of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Law of Contract Ordinance, Chapter 433.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Maira</w:t>
      </w:r>
      <w:proofErr w:type="spellEnd"/>
      <w:r>
        <w:rPr>
          <w:rFonts w:ascii="Times New Roman" w:hAnsi="Times New Roman" w:cs="Times New Roman"/>
          <w:color w:val="000000"/>
        </w:rPr>
        <w:t>, the learned advocate who appeared for the plaintiff on the other hand submitted that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question of lawful termination does not arise because the lease agreement was void </w:t>
      </w:r>
      <w:r>
        <w:rPr>
          <w:rFonts w:ascii="Times New Roman" w:hAnsi="Times New Roman" w:cs="Times New Roman"/>
          <w:i/>
          <w:iCs/>
          <w:color w:val="000000"/>
        </w:rPr>
        <w:t xml:space="preserve">ab initio </w:t>
      </w:r>
      <w:r>
        <w:rPr>
          <w:rFonts w:ascii="Times New Roman" w:hAnsi="Times New Roman" w:cs="Times New Roman"/>
          <w:color w:val="000000"/>
        </w:rPr>
        <w:t>because it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perpetuated by fraud on the part of the second defendant. His contention was that there was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nondisclosure of information by the second defendant. With greatest respect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Maira</w:t>
      </w:r>
      <w:proofErr w:type="spellEnd"/>
      <w:r>
        <w:rPr>
          <w:rFonts w:ascii="Times New Roman" w:hAnsi="Times New Roman" w:cs="Times New Roman"/>
          <w:color w:val="000000"/>
        </w:rPr>
        <w:t>, such a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 for a summing up of the case is a misplacement. The validity of the lease agreement is not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forms the cause of action for the plaintiff in this case. It was not pleaded. It was not an issue in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case. Nor was any evidence led by the plaintiff on this aspect.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Vidyarthi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Ram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Rakha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[1957]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 527 is an authority on what the contents of final submissions should relate. They should relate to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pleadings and the evidence which was adduced in the trial. Final </w:t>
      </w:r>
      <w:r>
        <w:rPr>
          <w:rFonts w:ascii="Times New Roman" w:hAnsi="Times New Roman" w:cs="Times New Roman"/>
          <w:color w:val="000000"/>
        </w:rPr>
        <w:lastRenderedPageBreak/>
        <w:t>submissions are not themselves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evidence. They are aimed at providing a guide to the Court in resolving the issues before the Court. They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therefore be directed to what was pleaded and the evidence that was led during the trial.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clarification having made, I will say that the submissions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first issue cannot be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considered, let alone be accepted by the Court. They do not relate in any way to the plaintiffs pleadings,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 which has been referred to, nor is there any evidence to support linkage of the submissions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made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respect of the first issue.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Both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Chidowo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Mujulizi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quite correctly, that the relationship between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landlord and tenant was contractual and parties to the lease agreement are duty bound to comply with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respective covenants of lease agreement.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clause 7(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lease agreement, (Exhibit P1), the plaintiff was obliged to pay all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taxes and game park fees payable to the Ministry of Lands Natural Resources and Tourism.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testimony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witnesses Augustine </w:t>
      </w:r>
      <w:proofErr w:type="spellStart"/>
      <w:r>
        <w:rPr>
          <w:rFonts w:ascii="Times New Roman" w:hAnsi="Times New Roman" w:cs="Times New Roman"/>
          <w:color w:val="000000"/>
        </w:rPr>
        <w:t>Mundala</w:t>
      </w:r>
      <w:proofErr w:type="spellEnd"/>
      <w:r>
        <w:rPr>
          <w:rFonts w:ascii="Times New Roman" w:hAnsi="Times New Roman" w:cs="Times New Roman"/>
          <w:color w:val="000000"/>
        </w:rPr>
        <w:t xml:space="preserve"> (DW1) and </w:t>
      </w:r>
      <w:proofErr w:type="spellStart"/>
      <w:r>
        <w:rPr>
          <w:rFonts w:ascii="Times New Roman" w:hAnsi="Times New Roman" w:cs="Times New Roman"/>
          <w:color w:val="000000"/>
        </w:rPr>
        <w:t>Eliaezer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Mwakilwa</w:t>
      </w:r>
      <w:proofErr w:type="spellEnd"/>
      <w:r>
        <w:rPr>
          <w:rFonts w:ascii="Times New Roman" w:hAnsi="Times New Roman" w:cs="Times New Roman"/>
          <w:color w:val="000000"/>
        </w:rPr>
        <w:t xml:space="preserve"> (DW2)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that the plaintiff fell into arrears of entry fees for tourists as well as conservation fees.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Agricola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Athanas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Magoho</w:t>
      </w:r>
      <w:proofErr w:type="spellEnd"/>
      <w:r>
        <w:rPr>
          <w:rFonts w:ascii="Times New Roman" w:hAnsi="Times New Roman" w:cs="Times New Roman"/>
          <w:color w:val="000000"/>
        </w:rPr>
        <w:t xml:space="preserve"> (DW3) told the Court that the plaintiff defaulted in payment of rent to the landlord.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admitted falling back in the payment of the entry fees and conservation fee. He associated his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default with the September 11 bombing of the United States of America Embassies in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 and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Nairobi as well as the bombing of the hotels in Zanzibar and Mombasa. He said terrorist activities were a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 w:rsidR="009504CB">
        <w:rPr>
          <w:rFonts w:ascii="Times New Roman" w:hAnsi="Times New Roman" w:cs="Times New Roman"/>
          <w:color w:val="000000"/>
        </w:rPr>
        <w:t>setback</w:t>
      </w:r>
      <w:r>
        <w:rPr>
          <w:rFonts w:ascii="Times New Roman" w:hAnsi="Times New Roman" w:cs="Times New Roman"/>
          <w:color w:val="000000"/>
        </w:rPr>
        <w:t xml:space="preserve"> in the tourist industry worldwide. They resulted in higher operational costs than the revenues. As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 the default in payment of rent this evidence is not disputed.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evidence showing that prior to the closure of the camp, the plaintiff was reminded and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warned to make good the arrears of reserved rent and government taxes (Exhibit D2). A letter dated 3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March 2000 (Exhibit D5) contains an express admission by the plaintiff of his failure to pay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outstanding park fees. Following the plaintiff’s persistent failure to comply with the express terms of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lease agreement, the plaintiff was served with a notice of breach of the terms and conditions of the lease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(Exhibit D3). That was on 28 May 1999. Even then, the plaintiff ignored and or neglected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compliance of the terms and conditions of the lease agreement.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notice of termination of the lease agreement pursuant to clauses 7(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j</w:t>
      </w:r>
      <w:r>
        <w:rPr>
          <w:rFonts w:ascii="Times New Roman" w:hAnsi="Times New Roman" w:cs="Times New Roman"/>
          <w:color w:val="000000"/>
        </w:rPr>
        <w:t>) and 9(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was served on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on 15 June 1999.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plaintiff’s main complaint is that the lease agreement was terminated by the Minister without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because the lease agreement was not made between the plaintiff and the Minister. The plaintiff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tendered into court letters of cancellation of the agreement authored by the Minister. They were admitted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Court as Exhibit P2 and P3.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on record shows that by Exhibit D3, the plaintiff was notified of the breach of terms and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conditions of the lease agreement. These were payment of the reserved rent on the days and manner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agreed upon, payment of taxes and game park fees to the ministry of lands and natural resources as well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submission of returns and alteration or addition of any of the premises or camp without the consent of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lessor. These are the covenants in clauses 7(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7(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7(</w:t>
      </w:r>
      <w:r>
        <w:rPr>
          <w:rFonts w:ascii="Times New Roman" w:hAnsi="Times New Roman" w:cs="Times New Roman"/>
          <w:i/>
          <w:iCs/>
          <w:color w:val="000000"/>
        </w:rPr>
        <w:t>j</w:t>
      </w:r>
      <w:r>
        <w:rPr>
          <w:rFonts w:ascii="Times New Roman" w:hAnsi="Times New Roman" w:cs="Times New Roman"/>
          <w:color w:val="000000"/>
        </w:rPr>
        <w:t>) respectively. Exhibit D3 is dated 28 May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1999. DW3 said the termination followed on 15 June as per Exhibit D4. The lease was terminated on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15 June 1999.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Exhibit D5 dated 3 March 2000 is clear evidence that the plaintiff received Exhibit D3 but did not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 the outstanding arrears of rent and taxes. It was only when the Minister for natural resources and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tourism wrote to the plaintiff that the plaintiff seriously engaged in measures in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its position. It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said that the lease agreement was terminated by the Minister for tourism on 3 June 2002.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lease agreement was terminated by the lessor on 15 June 1999 and it was lawful terminated.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37(1) of the law of contract ordinance camp 433 requires the parties to a contract to perform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respective promises. The section reads: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parties to a contract must perform their respective promises, unless such performance is dispensed with</w:t>
      </w:r>
      <w:r w:rsidR="00D5535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excused under the provisions of this ordinance or any other law”.</w:t>
      </w:r>
      <w:r w:rsidR="00D5535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having failed to comply with the clauses of the lease agreement that required him to pay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rent and relevant taxes under the lease agreement, the contract was lawfully terminated.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Maira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for the second issue was that the first defendant was not privy to the lease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and had no authority to close the impugned camp. The plaintiff was making payments to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and second defendant until they demanded the concession letter from the second defendant until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they were denied. Still they continued to pay the first defendant the outstanding fees.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the bomb attacks referred to herein before and how they affected the tourist business but still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kept on paying taxes to the first defendant.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Both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Chidowo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Mujulizi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responded by saying that the first defendant was entitled to close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lastRenderedPageBreak/>
        <w:t>impugned camp after the plaintiff defaulted in paying taxes.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 has admitted failure to pay the taxes and fell in arrears. PW1 Alfred </w:t>
      </w:r>
      <w:proofErr w:type="spellStart"/>
      <w:r>
        <w:rPr>
          <w:rFonts w:ascii="Times New Roman" w:hAnsi="Times New Roman" w:cs="Times New Roman"/>
          <w:color w:val="000000"/>
        </w:rPr>
        <w:t>Moozer</w:t>
      </w:r>
      <w:proofErr w:type="spellEnd"/>
      <w:r>
        <w:rPr>
          <w:rFonts w:ascii="Times New Roman" w:hAnsi="Times New Roman" w:cs="Times New Roman"/>
          <w:color w:val="000000"/>
        </w:rPr>
        <w:t>,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Executive and managing director of the plaintiff said: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conceded there was some fees due”.</w:t>
      </w:r>
      <w:r w:rsidR="00D5535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Exhibit D5 is a clear admission by the plaintiff of being in arrears. Therefore, it is not true as submitted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plaintiff was paying taxes in accordance with the agreed schedule. The evidence on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shows that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lease agreement was terminated by the second defendant way back in June 1999 but the plaintiff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continued to carry on business. The closure of the camp came after the lease was lawfully terminated by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second defendant because of the plaintiff’s failure to </w:t>
      </w:r>
      <w:proofErr w:type="spellStart"/>
      <w:r>
        <w:rPr>
          <w:rFonts w:ascii="Times New Roman" w:hAnsi="Times New Roman" w:cs="Times New Roman"/>
          <w:color w:val="000000"/>
        </w:rPr>
        <w:t>honour</w:t>
      </w:r>
      <w:proofErr w:type="spellEnd"/>
      <w:r>
        <w:rPr>
          <w:rFonts w:ascii="Times New Roman" w:hAnsi="Times New Roman" w:cs="Times New Roman"/>
          <w:color w:val="000000"/>
        </w:rPr>
        <w:t xml:space="preserve"> the terms of the lease agreement.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plaintiff claimed that the lease agreement was not terminated no evidence was led to prove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existence of the lease agreement after the second defendant terminated it. In terms of section 110(1)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(2) of the Evidence Act, 1967 the burden was on the plaintiff to prove the existence of the lease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agreement, which was not done in this case.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 issue relates to loss purported to have been suffered by the plaintiff because of the closure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camp.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 that the plaintiff invested about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423.4 million to change the camp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made it a beautiful place loved by tourists after finding it in a dilapidated state when the plaintiff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started operations. The closure of the camp frustrated all the investments. He said the period in which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ran the business built good relationships, goodwill and reputation within and outside Tanzania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were made on trust and years of hard work but all have now been destroyed.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Chidodwo’s</w:t>
      </w:r>
      <w:proofErr w:type="spellEnd"/>
      <w:r>
        <w:rPr>
          <w:rFonts w:ascii="Times New Roman" w:hAnsi="Times New Roman" w:cs="Times New Roman"/>
          <w:color w:val="000000"/>
        </w:rPr>
        <w:t xml:space="preserve"> response was that the plaintiff was granted by the first defendant temporary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permission to extend camp activities up to November for purposes of enabling the plaintiff to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accommodate the bookings made up to 7 November 2002. He said bookings made thereafter were done at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plaintiff’s own risk and the first defendant cannot be held liable.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Mujulizi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other hand submitted that the improvements alleged to have been done by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on the rented premises was another breach. The lease agreement required the plaintiff to have a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prior approval of the lessor – second defendant (clause 7(</w:t>
      </w:r>
      <w:r>
        <w:rPr>
          <w:rFonts w:ascii="Times New Roman" w:hAnsi="Times New Roman" w:cs="Times New Roman"/>
          <w:i/>
          <w:iCs/>
          <w:color w:val="000000"/>
        </w:rPr>
        <w:t>j</w:t>
      </w:r>
      <w:r>
        <w:rPr>
          <w:rFonts w:ascii="Times New Roman" w:hAnsi="Times New Roman" w:cs="Times New Roman"/>
          <w:color w:val="000000"/>
        </w:rPr>
        <w:t>) of Exhibit P1) which the plaintiff did not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Clause 7(</w:t>
      </w:r>
      <w:r>
        <w:rPr>
          <w:rFonts w:ascii="Times New Roman" w:hAnsi="Times New Roman" w:cs="Times New Roman"/>
          <w:i/>
          <w:iCs/>
          <w:color w:val="000000"/>
        </w:rPr>
        <w:t>j</w:t>
      </w:r>
      <w:r>
        <w:rPr>
          <w:rFonts w:ascii="Times New Roman" w:hAnsi="Times New Roman" w:cs="Times New Roman"/>
          <w:color w:val="000000"/>
        </w:rPr>
        <w:t>) of Exhibit P1 reads: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lessee hereby covenants with the lessor as follows:</w:t>
      </w:r>
      <w:r w:rsidR="00D5535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</w:t>
      </w:r>
      <w:r>
        <w:rPr>
          <w:rFonts w:ascii="Times New Roman" w:hAnsi="Times New Roman" w:cs="Times New Roman"/>
          <w:color w:val="000000"/>
          <w:sz w:val="20"/>
          <w:szCs w:val="20"/>
        </w:rPr>
        <w:t>) Not without the previous consent in writing of the lessor or his agent to make or permit to be made any</w:t>
      </w:r>
      <w:r w:rsidR="00D5535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alteration or addition to any of the premises or in the camp 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outmain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injure or alter any of the</w:t>
      </w:r>
      <w:r w:rsidR="00D5535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walls or timber of any structure. The lessee can erect new tents/buildings or make improvements to the</w:t>
      </w:r>
      <w:r w:rsidR="00D5535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property with the consent of the lessor, such consent not to be unreasonably withheld”.</w:t>
      </w:r>
      <w:r w:rsidR="00D5535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Mujulizi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correctly that the improvements effected by the plaintiff in the context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demonstrated by the plaintiff were illegal and unjustified for want of consent from the second defendant.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perspective the plaintiff cannot be entitled to damages against the second and third defendant. Not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against the first defendant because the lease agreement was terminated in June 1999 and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was only granted temporary extension up to November 2002. If he went beyond that period and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advanced bookings up to this year, then the plaintiff must bear the consequences alone.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circumstances as they stand, do not support the </w:t>
      </w:r>
      <w:r w:rsidR="00D5535F">
        <w:rPr>
          <w:rFonts w:ascii="Times New Roman" w:hAnsi="Times New Roman" w:cs="Times New Roman"/>
          <w:color w:val="000000"/>
        </w:rPr>
        <w:t>plaintiff’s</w:t>
      </w:r>
      <w:r>
        <w:rPr>
          <w:rFonts w:ascii="Times New Roman" w:hAnsi="Times New Roman" w:cs="Times New Roman"/>
          <w:color w:val="000000"/>
        </w:rPr>
        <w:t xml:space="preserve"> contention that it suffered loss as a result of the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closure of the camp. The lease agreement was lawfully terminated because of breach of the terms and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conditions of the lease agreement by the plaintiff well before he made those bookings.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Lastly, is the relief(s)</w:t>
      </w:r>
      <w:proofErr w:type="gramStart"/>
      <w:r>
        <w:rPr>
          <w:rFonts w:ascii="Times New Roman" w:hAnsi="Times New Roman" w:cs="Times New Roman"/>
          <w:color w:val="000000"/>
        </w:rPr>
        <w:t>.</w:t>
      </w:r>
      <w:proofErr w:type="gramEnd"/>
      <w:r>
        <w:rPr>
          <w:rFonts w:ascii="Times New Roman" w:hAnsi="Times New Roman" w:cs="Times New Roman"/>
          <w:color w:val="000000"/>
        </w:rPr>
        <w:t xml:space="preserve"> The plaintiff having failed to establish the claims it is praying for, the suit is</w:t>
      </w:r>
      <w:r w:rsidR="00D5535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with costs.</w:t>
      </w:r>
      <w:r w:rsidR="00D5535F">
        <w:rPr>
          <w:rFonts w:ascii="Times New Roman" w:hAnsi="Times New Roman" w:cs="Times New Roman"/>
          <w:color w:val="000000"/>
        </w:rPr>
        <w:t xml:space="preserve"> </w:t>
      </w:r>
    </w:p>
    <w:p w:rsidR="001C595F" w:rsidRDefault="001C595F" w:rsidP="001C5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1C595F" w:rsidRDefault="001C595F" w:rsidP="001C5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Maira</w:t>
      </w:r>
      <w:proofErr w:type="spellEnd"/>
    </w:p>
    <w:p w:rsidR="001C595F" w:rsidRDefault="001C595F" w:rsidP="001C5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and fourth defendants:</w:t>
      </w:r>
    </w:p>
    <w:p w:rsidR="001C595F" w:rsidRDefault="001C595F" w:rsidP="001C5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Teri</w:t>
      </w:r>
    </w:p>
    <w:p w:rsidR="001C595F" w:rsidRDefault="001C595F" w:rsidP="001C5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second and third defendants:</w:t>
      </w:r>
    </w:p>
    <w:p w:rsidR="0021070D" w:rsidRDefault="001C595F" w:rsidP="001C595F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Mujulizi</w:t>
      </w:r>
      <w:proofErr w:type="spellEnd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5F"/>
    <w:rsid w:val="001C595F"/>
    <w:rsid w:val="0021070D"/>
    <w:rsid w:val="009504CB"/>
    <w:rsid w:val="00D5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2CBD8-297B-4E0A-A032-7445DAC3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2018-07-04T13:04:00Z</dcterms:created>
  <dcterms:modified xsi:type="dcterms:W3CDTF">2018-07-11T14:01:00Z</dcterms:modified>
</cp:coreProperties>
</file>