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32C" w:rsidRDefault="000C232C" w:rsidP="00B13D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Swai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 v Republic</w:t>
      </w:r>
    </w:p>
    <w:p w:rsidR="000C232C" w:rsidRDefault="000C232C" w:rsidP="00B13D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Tanzania at Mwanza</w:t>
      </w:r>
    </w:p>
    <w:p w:rsidR="000C232C" w:rsidRDefault="000C232C" w:rsidP="00B13D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22 October 1973</w:t>
      </w:r>
    </w:p>
    <w:p w:rsidR="000C232C" w:rsidRDefault="000C232C" w:rsidP="00B13D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270/1973 (106/74)</w:t>
      </w:r>
    </w:p>
    <w:p w:rsidR="000C232C" w:rsidRDefault="000C232C" w:rsidP="00B13D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Mfalila</w:t>
      </w:r>
      <w:proofErr w:type="spellEnd"/>
      <w:r>
        <w:rPr>
          <w:rFonts w:ascii="Times New Roman" w:hAnsi="Times New Roman" w:cs="Times New Roman"/>
          <w:color w:val="000000"/>
        </w:rPr>
        <w:t xml:space="preserve"> Ag J</w:t>
      </w:r>
    </w:p>
    <w:p w:rsidR="000C232C" w:rsidRDefault="000C232C" w:rsidP="00B13D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C232C" w:rsidRDefault="000C232C" w:rsidP="000C2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Evidence – Confession – Co-accused – Whether evidence against co-accused – Evidence Act, s. </w:t>
      </w:r>
      <w:r>
        <w:rPr>
          <w:rFonts w:ascii="Times New Roman" w:hAnsi="Times New Roman" w:cs="Times New Roman"/>
          <w:color w:val="000000"/>
        </w:rPr>
        <w:t>33</w:t>
      </w:r>
    </w:p>
    <w:p w:rsidR="000C232C" w:rsidRDefault="000C232C" w:rsidP="000C2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T.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0C232C" w:rsidRDefault="000C232C" w:rsidP="000C2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Evidence – Confession – Retracted confession – Procedure to be followed – Whether corroboration</w:t>
      </w:r>
    </w:p>
    <w:p w:rsidR="000C232C" w:rsidRDefault="000C232C" w:rsidP="000C2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necessary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0C232C" w:rsidRDefault="000C232C" w:rsidP="000C2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Evidence – Confession – Whether extra-judicial statement amounts to confession.</w:t>
      </w:r>
    </w:p>
    <w:p w:rsidR="000C232C" w:rsidRDefault="000C232C" w:rsidP="000C2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[4] Evidence – Extra judicial statement – Admissibility of, as against co-accused, where statement does</w:t>
      </w:r>
    </w:p>
    <w:p w:rsidR="000C232C" w:rsidRDefault="000C232C" w:rsidP="000C2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not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amount to confession – Evidence against maker only – Evidence Act, s. </w:t>
      </w:r>
      <w:r>
        <w:rPr>
          <w:rFonts w:ascii="Times New Roman" w:hAnsi="Times New Roman" w:cs="Times New Roman"/>
          <w:color w:val="000000"/>
        </w:rPr>
        <w:t>33 (</w:t>
      </w:r>
      <w:r>
        <w:rPr>
          <w:rFonts w:ascii="Times New Roman" w:hAnsi="Times New Roman" w:cs="Times New Roman"/>
          <w:i/>
          <w:iCs/>
          <w:color w:val="000000"/>
        </w:rPr>
        <w:t>T.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0C232C" w:rsidRDefault="00B13D0C" w:rsidP="00B13D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B13D0C" w:rsidRDefault="000C232C" w:rsidP="00B13D0C">
      <w:pPr>
        <w:jc w:val="both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Mfalila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Ag J: </w:t>
      </w:r>
      <w:r>
        <w:rPr>
          <w:rFonts w:ascii="Times New Roman" w:hAnsi="Times New Roman" w:cs="Times New Roman"/>
          <w:color w:val="000000"/>
        </w:rPr>
        <w:t xml:space="preserve">The appellants </w:t>
      </w:r>
      <w:proofErr w:type="spellStart"/>
      <w:r>
        <w:rPr>
          <w:rFonts w:ascii="Times New Roman" w:hAnsi="Times New Roman" w:cs="Times New Roman"/>
          <w:color w:val="000000"/>
        </w:rPr>
        <w:t>Samwel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Mfunya</w:t>
      </w:r>
      <w:proofErr w:type="spellEnd"/>
      <w:r>
        <w:rPr>
          <w:rFonts w:ascii="Times New Roman" w:hAnsi="Times New Roman" w:cs="Times New Roman"/>
          <w:color w:val="000000"/>
        </w:rPr>
        <w:t xml:space="preserve">, Sebastian </w:t>
      </w:r>
      <w:proofErr w:type="spellStart"/>
      <w:r>
        <w:rPr>
          <w:rFonts w:ascii="Times New Roman" w:hAnsi="Times New Roman" w:cs="Times New Roman"/>
          <w:color w:val="000000"/>
        </w:rPr>
        <w:t>Swai</w:t>
      </w:r>
      <w:proofErr w:type="spellEnd"/>
      <w:r>
        <w:rPr>
          <w:rFonts w:ascii="Times New Roman" w:hAnsi="Times New Roman" w:cs="Times New Roman"/>
          <w:color w:val="000000"/>
        </w:rPr>
        <w:t xml:space="preserve"> and Vincent </w:t>
      </w:r>
      <w:proofErr w:type="spellStart"/>
      <w:r>
        <w:rPr>
          <w:rFonts w:ascii="Times New Roman" w:hAnsi="Times New Roman" w:cs="Times New Roman"/>
          <w:color w:val="000000"/>
        </w:rPr>
        <w:t>Kitumbo</w:t>
      </w:r>
      <w:proofErr w:type="spellEnd"/>
      <w:r>
        <w:rPr>
          <w:rFonts w:ascii="Times New Roman" w:hAnsi="Times New Roman" w:cs="Times New Roman"/>
          <w:color w:val="000000"/>
        </w:rPr>
        <w:t xml:space="preserve"> were jointly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charged along with two other persons namely </w:t>
      </w:r>
      <w:proofErr w:type="spellStart"/>
      <w:r>
        <w:rPr>
          <w:rFonts w:ascii="Times New Roman" w:hAnsi="Times New Roman" w:cs="Times New Roman"/>
          <w:color w:val="000000"/>
        </w:rPr>
        <w:t>Bernedicto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Bernado</w:t>
      </w:r>
      <w:proofErr w:type="spellEnd"/>
      <w:r>
        <w:rPr>
          <w:rFonts w:ascii="Times New Roman" w:hAnsi="Times New Roman" w:cs="Times New Roman"/>
          <w:color w:val="000000"/>
        </w:rPr>
        <w:t xml:space="preserve"> who did not appeal and William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Boniface who was acquitted, with stealing goods in transit contrary to ss. 269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and 265 of the Penal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Code, for which they were convicted and sentenced to seven years imprisonment. They were jointly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charged and their appeals were consolidated. They all appealed against convictions and sentences.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Considering the complexities involved in this appeal, the full facts as revealed by the evidence at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 will be restated. On 15 August 1972 at about 10 p.m., a police party with dogs was on patrol duty in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Isevya</w:t>
      </w:r>
      <w:proofErr w:type="spellEnd"/>
      <w:r>
        <w:rPr>
          <w:rFonts w:ascii="Times New Roman" w:hAnsi="Times New Roman" w:cs="Times New Roman"/>
          <w:color w:val="000000"/>
        </w:rPr>
        <w:t xml:space="preserve"> Suburb of </w:t>
      </w:r>
      <w:proofErr w:type="spellStart"/>
      <w:r>
        <w:rPr>
          <w:rFonts w:ascii="Times New Roman" w:hAnsi="Times New Roman" w:cs="Times New Roman"/>
          <w:color w:val="000000"/>
        </w:rPr>
        <w:t>Tabora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township</w:t>
      </w:r>
      <w:proofErr w:type="gramEnd"/>
      <w:r>
        <w:rPr>
          <w:rFonts w:ascii="Times New Roman" w:hAnsi="Times New Roman" w:cs="Times New Roman"/>
          <w:color w:val="000000"/>
        </w:rPr>
        <w:t xml:space="preserve">. In the course of this patrol and as the party entered </w:t>
      </w:r>
      <w:proofErr w:type="spellStart"/>
      <w:r>
        <w:rPr>
          <w:rFonts w:ascii="Times New Roman" w:hAnsi="Times New Roman" w:cs="Times New Roman"/>
          <w:color w:val="000000"/>
        </w:rPr>
        <w:t>Boma</w:t>
      </w:r>
      <w:proofErr w:type="spellEnd"/>
      <w:r>
        <w:rPr>
          <w:rFonts w:ascii="Times New Roman" w:hAnsi="Times New Roman" w:cs="Times New Roman"/>
          <w:color w:val="000000"/>
        </w:rPr>
        <w:t xml:space="preserve"> Road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past the railway station, they saw a bus parked off the road under mango trees. This bus aroused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suspicions of the members of the police patrol party, they therefore approached it and saw a man in it –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one </w:t>
      </w:r>
      <w:proofErr w:type="spellStart"/>
      <w:r>
        <w:rPr>
          <w:rFonts w:ascii="Times New Roman" w:hAnsi="Times New Roman" w:cs="Times New Roman"/>
          <w:color w:val="000000"/>
        </w:rPr>
        <w:t>Hamisi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Juma</w:t>
      </w:r>
      <w:proofErr w:type="spellEnd"/>
      <w:r>
        <w:rPr>
          <w:rFonts w:ascii="Times New Roman" w:hAnsi="Times New Roman" w:cs="Times New Roman"/>
          <w:color w:val="000000"/>
        </w:rPr>
        <w:t>, who was present and identified in court but did not give evidence. The significance of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will become apparent presently. In any event, on being questioned, </w:t>
      </w:r>
      <w:proofErr w:type="spellStart"/>
      <w:r>
        <w:rPr>
          <w:rFonts w:ascii="Times New Roman" w:hAnsi="Times New Roman" w:cs="Times New Roman"/>
          <w:color w:val="000000"/>
        </w:rPr>
        <w:t>Hamisi</w:t>
      </w:r>
      <w:proofErr w:type="spellEnd"/>
      <w:r>
        <w:rPr>
          <w:rFonts w:ascii="Times New Roman" w:hAnsi="Times New Roman" w:cs="Times New Roman"/>
          <w:color w:val="000000"/>
        </w:rPr>
        <w:t xml:space="preserve"> admitted being the driver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bus, but said that it had broken down and that he had sent the passengers into town to seek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assistance. The police officers were still suspicious, one of them tried to drive the bus and it was found to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in good working condition. This apparently terrified the driver, but he was allowed to go after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particulars of his bus were taken and ordered to report the following morning at the police station. After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departure of the driver, the police party combed the surrounding area around the railway yard which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fenced. In the course of this search, seven cartons and two bales of cloth were discovered.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immediate suspicion was that these goods must have been stolen from the railway premises. It was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decided to lie in ambush and await whoever would come to collect them. Indeed as expected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half an hour or so a group of five people emerged and walking towards the cartons, they prepared to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take them away. The police dogs were then released, they chased these people, but managed to arrest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only one of them – the first accused </w:t>
      </w:r>
      <w:proofErr w:type="spellStart"/>
      <w:r>
        <w:rPr>
          <w:rFonts w:ascii="Times New Roman" w:hAnsi="Times New Roman" w:cs="Times New Roman"/>
          <w:color w:val="000000"/>
        </w:rPr>
        <w:t>Samwel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Mfunya</w:t>
      </w:r>
      <w:proofErr w:type="spellEnd"/>
      <w:r>
        <w:rPr>
          <w:rFonts w:ascii="Times New Roman" w:hAnsi="Times New Roman" w:cs="Times New Roman"/>
          <w:color w:val="000000"/>
        </w:rPr>
        <w:t>. He was closely questioned and pleaded that he and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his companions had merely been employed by one Sebastian </w:t>
      </w:r>
      <w:proofErr w:type="spellStart"/>
      <w:r>
        <w:rPr>
          <w:rFonts w:ascii="Times New Roman" w:hAnsi="Times New Roman" w:cs="Times New Roman"/>
          <w:color w:val="000000"/>
        </w:rPr>
        <w:t>Swai</w:t>
      </w:r>
      <w:proofErr w:type="spellEnd"/>
      <w:r>
        <w:rPr>
          <w:rFonts w:ascii="Times New Roman" w:hAnsi="Times New Roman" w:cs="Times New Roman"/>
          <w:color w:val="000000"/>
        </w:rPr>
        <w:t xml:space="preserve"> the third accused, apparently to break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take out goods from a railway wagon. He led them to a railway wagon in question and as surely, they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found it had been broken and cartons similar to those impounded earlier on were in it. He also led them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another place where a wire cutter, two other cartons and bales of cloth were discovered. All these were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seized and taken to the police station along with the first accused. Early the following morning, he led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police party to a house in </w:t>
      </w:r>
      <w:proofErr w:type="spellStart"/>
      <w:r>
        <w:rPr>
          <w:rFonts w:ascii="Times New Roman" w:hAnsi="Times New Roman" w:cs="Times New Roman"/>
          <w:color w:val="000000"/>
        </w:rPr>
        <w:t>Rufita</w:t>
      </w:r>
      <w:proofErr w:type="spellEnd"/>
      <w:r>
        <w:rPr>
          <w:rFonts w:ascii="Times New Roman" w:hAnsi="Times New Roman" w:cs="Times New Roman"/>
          <w:color w:val="000000"/>
        </w:rPr>
        <w:t xml:space="preserve"> Street where he said, his other companions lived. In this house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and fourth accused persons were found and arrested. Subsequently the third and fifth accused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also picked up. A few days later, the second accused, the fourth accused and first accused were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taken before a Primary Court Magistrate – who recorded their extra-judicial statements and, during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trial, these statements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treated as confessions. I will revert to these statements later in the course of this judgment but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suffice it to say at the moment that they all amounted to the same thing namely that these accused persons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were innocent hirelings of the third accused </w:t>
      </w:r>
      <w:proofErr w:type="spellStart"/>
      <w:r>
        <w:rPr>
          <w:rFonts w:ascii="Times New Roman" w:hAnsi="Times New Roman" w:cs="Times New Roman"/>
          <w:color w:val="000000"/>
        </w:rPr>
        <w:t>Swai</w:t>
      </w:r>
      <w:proofErr w:type="spellEnd"/>
      <w:r>
        <w:rPr>
          <w:rFonts w:ascii="Times New Roman" w:hAnsi="Times New Roman" w:cs="Times New Roman"/>
          <w:color w:val="000000"/>
        </w:rPr>
        <w:t xml:space="preserve">. They </w:t>
      </w:r>
      <w:r>
        <w:rPr>
          <w:rFonts w:ascii="Times New Roman" w:hAnsi="Times New Roman" w:cs="Times New Roman"/>
          <w:color w:val="000000"/>
        </w:rPr>
        <w:lastRenderedPageBreak/>
        <w:t>all said that they did not know at the time that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were dealing with stolen goods. Nevertheless they were all subsequently charged with this offence.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these facts, the case against the first accused consisted of direct evidence, namely of his arrest at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scene of crime, his statements to police patrol party which led to the discovery of other goods, and his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retracted extra-judicial statement to the magistrate. On this evidence, he was convicted and sentenced to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seven years’ imprisonment.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case against the third accused consisted mainly in the extra-judicial statements implicating him,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by his co-accused, who alleged that he was the brain behind the whole scheme and that they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themselves were merely his tools. The trial magistrate found support for these statements in the fact that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third accused who was a Yard Foreman at </w:t>
      </w:r>
      <w:proofErr w:type="spellStart"/>
      <w:r>
        <w:rPr>
          <w:rFonts w:ascii="Times New Roman" w:hAnsi="Times New Roman" w:cs="Times New Roman"/>
          <w:color w:val="000000"/>
        </w:rPr>
        <w:t>Tabora</w:t>
      </w:r>
      <w:proofErr w:type="spellEnd"/>
      <w:r>
        <w:rPr>
          <w:rFonts w:ascii="Times New Roman" w:hAnsi="Times New Roman" w:cs="Times New Roman"/>
          <w:color w:val="000000"/>
        </w:rPr>
        <w:t xml:space="preserve"> railway station was on duty at the time when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wagon in question GG.61771 arrived at the station, and as the officer responsible for marshalling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wagon, he arranged for this particular wagon to be marked “sick” but that instead of placing it on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“sick line” as was normal procedure, he “misplaced” it and left it near the fence where it was easily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accessible to intruders from without. The magistrate found, to use his own words: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“This hypothesis tallies very squarely with the confession of first, second and fourth accused that it was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Swai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third accused, the Yard Foreman, who master-brained the organization, led the accused to the wagon and by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use of a big wire cutter unlocked the seal of the wagon. The wire cutter was found by the Police on the scene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crime and has been tendered as exhibit.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My personal view of the position of the case is that an intrigue of arrangement was made to stop the wagon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bound for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Isaka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from proceeding thereto and to marshal the same to a strategic position where it could easily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accessible from outside the yard.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 have no doubt that these circumstances show that overall scheme was master-minded by a person very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conversant with the marshalling arrangement of the railway wagons and the circumstances thereto and in the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circumstances this could be nobody else but the accused-the Yard Foreman. These circumstances in my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opinion suffice as an independent evidence to corroborate the accused’s confessions that the third accused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Swai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was the brain behind this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dishonourable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scheme and that he actually participated in the breakage of the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wagon in question and theft of the goods therefrom.”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As indicated the magistrate convicted the third accused and sentenced him to seven years’ imprisonment.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Lastly, the case against the fourth accused consisted of his retracted extra-judicial statement.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he retracted his statement, the trial magistrate after adverting to the law and the relevant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authorities on retracted confessions, accepted it, holding that it was sufficiently corroborated because,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 to quote his exact words: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statements of the accused are so packed with such details of what happened before and after the alleged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theft that such detailed statements could not have been a mere invention of the police which they dictated to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accused unless the police also participated in the whole transaction which is inconceivable. Those are my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reasons for accepting the confessions.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 retracted confession as this must be (or needs to be) corroborated. The first accused was actually seen by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PW.1 and PW.2 and was caught by the police dogs at the scene of crime. It’s PW.1 who made a confession to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police that led to the discovery of the other two cartons and two bales of the goods (part of Exhibits).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PW.1 and PW.2 said they saw five people and although they did not clearly recognize the faces of the other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three the rest of the circumstances of the story shows that they could not have been any others but the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accused’s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inclusive particularly of second and fourth accused who have made the confessions.”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magistrate concluded by finding the fourth accused guilty, convicted him and sentenced him as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indicated earlier to seven year’s imprisonment.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have quoted parts of the magistrate’s judgment in view of the complaints levelled against it in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memoranda of appeal particularly by Mr. </w:t>
      </w:r>
      <w:proofErr w:type="spellStart"/>
      <w:r>
        <w:rPr>
          <w:rFonts w:ascii="Times New Roman" w:hAnsi="Times New Roman" w:cs="Times New Roman"/>
          <w:color w:val="000000"/>
        </w:rPr>
        <w:t>Hindocha</w:t>
      </w:r>
      <w:proofErr w:type="spellEnd"/>
      <w:r>
        <w:rPr>
          <w:rFonts w:ascii="Times New Roman" w:hAnsi="Times New Roman" w:cs="Times New Roman"/>
          <w:color w:val="000000"/>
        </w:rPr>
        <w:t xml:space="preserve"> for the third accused. Mr. </w:t>
      </w:r>
      <w:proofErr w:type="spellStart"/>
      <w:r>
        <w:rPr>
          <w:rFonts w:ascii="Times New Roman" w:hAnsi="Times New Roman" w:cs="Times New Roman"/>
          <w:color w:val="000000"/>
        </w:rPr>
        <w:t>Hindocha</w:t>
      </w:r>
      <w:proofErr w:type="spellEnd"/>
      <w:r>
        <w:rPr>
          <w:rFonts w:ascii="Times New Roman" w:hAnsi="Times New Roman" w:cs="Times New Roman"/>
          <w:color w:val="000000"/>
        </w:rPr>
        <w:t xml:space="preserve"> submitted on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behalf of his client that the magistrate’s judgment contains a number of </w:t>
      </w:r>
      <w:proofErr w:type="spellStart"/>
      <w:r>
        <w:rPr>
          <w:rFonts w:ascii="Times New Roman" w:hAnsi="Times New Roman" w:cs="Times New Roman"/>
          <w:color w:val="000000"/>
        </w:rPr>
        <w:t>misdirections</w:t>
      </w:r>
      <w:proofErr w:type="spellEnd"/>
      <w:r>
        <w:rPr>
          <w:rFonts w:ascii="Times New Roman" w:hAnsi="Times New Roman" w:cs="Times New Roman"/>
          <w:color w:val="000000"/>
        </w:rPr>
        <w:t xml:space="preserve"> and non-directions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vitiate his client’s conviction. After going through the record of trial and magistrate’s judgment, it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became abundantly clear that the magistrate’s judgment indeed contains </w:t>
      </w:r>
      <w:proofErr w:type="spellStart"/>
      <w:r>
        <w:rPr>
          <w:rFonts w:ascii="Times New Roman" w:hAnsi="Times New Roman" w:cs="Times New Roman"/>
          <w:color w:val="000000"/>
        </w:rPr>
        <w:t>misdirections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non-directions; it is therefore the duty of this court to determine whether these </w:t>
      </w:r>
      <w:proofErr w:type="spellStart"/>
      <w:r>
        <w:rPr>
          <w:rFonts w:ascii="Times New Roman" w:hAnsi="Times New Roman" w:cs="Times New Roman"/>
          <w:color w:val="000000"/>
        </w:rPr>
        <w:t>misdirections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non-directions occasioned miscarriage of justice, before the appellants’ convictions can be allowed to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stand.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Hindocha’s</w:t>
      </w:r>
      <w:proofErr w:type="spellEnd"/>
      <w:r>
        <w:rPr>
          <w:rFonts w:ascii="Times New Roman" w:hAnsi="Times New Roman" w:cs="Times New Roman"/>
          <w:color w:val="000000"/>
        </w:rPr>
        <w:t xml:space="preserve"> complaints </w:t>
      </w:r>
      <w:proofErr w:type="spellStart"/>
      <w:r>
        <w:rPr>
          <w:rFonts w:ascii="Times New Roman" w:hAnsi="Times New Roman" w:cs="Times New Roman"/>
          <w:color w:val="000000"/>
        </w:rPr>
        <w:t>centred</w:t>
      </w:r>
      <w:proofErr w:type="spellEnd"/>
      <w:r>
        <w:rPr>
          <w:rFonts w:ascii="Times New Roman" w:hAnsi="Times New Roman" w:cs="Times New Roman"/>
          <w:color w:val="000000"/>
        </w:rPr>
        <w:t xml:space="preserve"> mainly </w:t>
      </w:r>
      <w:proofErr w:type="gramStart"/>
      <w:r>
        <w:rPr>
          <w:rFonts w:ascii="Times New Roman" w:hAnsi="Times New Roman" w:cs="Times New Roman"/>
          <w:color w:val="000000"/>
        </w:rPr>
        <w:t>around</w:t>
      </w:r>
      <w:proofErr w:type="gramEnd"/>
      <w:r>
        <w:rPr>
          <w:rFonts w:ascii="Times New Roman" w:hAnsi="Times New Roman" w:cs="Times New Roman"/>
          <w:color w:val="000000"/>
        </w:rPr>
        <w:t xml:space="preserve"> the magistrate’s use against his client of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extra-judicial statements made by the other accused persons. He submitted that the magistrate erred in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 in treating the confessions of the other accused persons as evidence within the meaning of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Act 1967 rather than as a mere element in the consideration of the other evidence in the case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that consequently he failed to direct himself properly on the evidential value of the said confessions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against his client. In law these confessions had practically no evidential value against a co-accused and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</w:t>
      </w:r>
      <w:r>
        <w:rPr>
          <w:rFonts w:ascii="Times New Roman" w:hAnsi="Times New Roman" w:cs="Times New Roman"/>
          <w:color w:val="000000"/>
        </w:rPr>
        <w:lastRenderedPageBreak/>
        <w:t>therefore the magistrate erred in treating them on the same basis as accomplice evidence.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submitted further that the magistrate failed to appreciate that the confessions could not in law form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basis of the prosecution case and that if there was no substantial evidence of an independent nature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his client, they could not be used to sustain his conviction. For these reasons, he went on,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 adopted a wrong approach in treating the said confessions as substantive evidence against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third accused and then looking for corroborative evidence in support thereof. He relied for this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proposition on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Gopa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R</w:t>
      </w:r>
      <w:r>
        <w:rPr>
          <w:rFonts w:ascii="Times New Roman" w:hAnsi="Times New Roman" w:cs="Times New Roman"/>
          <w:color w:val="000000"/>
        </w:rPr>
        <w:t>. (1953), 20 E.A.C.A. 318 as well as the commentaries on s. 30 of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Indian Evidence Act which was in use in this country until 1967. S. 30 of the Indian Act is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equivalent of </w:t>
      </w:r>
      <w:proofErr w:type="spellStart"/>
      <w:r>
        <w:rPr>
          <w:rFonts w:ascii="Times New Roman" w:hAnsi="Times New Roman" w:cs="Times New Roman"/>
          <w:color w:val="000000"/>
        </w:rPr>
        <w:t>our s</w:t>
      </w:r>
      <w:proofErr w:type="spellEnd"/>
      <w:r>
        <w:rPr>
          <w:rFonts w:ascii="Times New Roman" w:hAnsi="Times New Roman" w:cs="Times New Roman"/>
          <w:color w:val="000000"/>
        </w:rPr>
        <w:t>. 33 in the Evidence Act 1967.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Hindocha’s</w:t>
      </w:r>
      <w:proofErr w:type="spellEnd"/>
      <w:r>
        <w:rPr>
          <w:rFonts w:ascii="Times New Roman" w:hAnsi="Times New Roman" w:cs="Times New Roman"/>
          <w:color w:val="000000"/>
        </w:rPr>
        <w:t xml:space="preserve"> last submission was in connection with the magistrate’s finding that these confessions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corroborated. He said that the magistrate misdirected himself in finding as he did that the mere fact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third accused, who was a Yard Foreman at the relevant time and responsible for marshalling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railway wagons, detained for repairs the wagon containing the stolen goods, and instead of placing it on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“sick line” “misplaced” it in the railway yard at a place from where it could easily be accessible to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intruders from outside the said yard, constituted independent corroboration of the confessions.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and fourth accused persons merely reiterated their denials of having taken part in this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 and repeated that they were forced into making the extra-judicial statements which were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produced and used in evidence against them.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proceeding further, I think I ought to mention in fairness to the trial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 that this was a highly complex case involving complex issues of law. In addition to the fact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accused were not defended by counsel, the already difficult task of the magistrate was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confounded by poor investigation and prosecution of the case. The pitfalls and errors into which he fell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ought to be viewed against these problems.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simplify the position, I will accept at the present stage as did the trial court and both counsel in this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appeal, that the extra-judicial statements made by the first and fourth accused amounted to confessions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within the meaning of s. 33 (1) of the Evidence Act, for although he did not say so in so many words,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 magistrate must have acted under this section in using these statements against the third accused.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Hence Mr. </w:t>
      </w:r>
      <w:proofErr w:type="spellStart"/>
      <w:r>
        <w:rPr>
          <w:rFonts w:ascii="Times New Roman" w:hAnsi="Times New Roman" w:cs="Times New Roman"/>
          <w:color w:val="000000"/>
        </w:rPr>
        <w:t>Hindocha’s</w:t>
      </w:r>
      <w:proofErr w:type="spellEnd"/>
      <w:r>
        <w:rPr>
          <w:rFonts w:ascii="Times New Roman" w:hAnsi="Times New Roman" w:cs="Times New Roman"/>
          <w:color w:val="000000"/>
        </w:rPr>
        <w:t xml:space="preserve"> complaints that these statements are not evidence within the meaning of s. 33 of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Evidence Act and that therefore the magistrate was wrong in treating them as such and then looking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corroborative evidence. He said that according to the commentaries on s. 30 of the Indian Evidence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Act, and the proposition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Gopa’s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case, the confessions under s. 33 cannot be treated as evidence against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co-accused.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Gopa’s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case, the Court of Appeal dealt with this same problem at length and quoted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extensively from Sarkar particularly a passage appearing at p. 289 which states: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is a fallacy to say that the confession of co-accused can be dealt with on the same basis as the evidence of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 accomplice. The ordinary way of dealing with accomplice evidence is to treat the evidence of an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accomplice as the foundation of the prosecution story, and then to see how far there is corroboration of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matters which affect the accused and tend to show that the evidence is true against him. But we cannot take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confession of a co-accused as the basis of the prosecution case. It is not given on oath and there is no right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cross-examination.”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After discussing the other authorities on the point, the appeal judges held at p. 322: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“Returning now to the submission by the appellant’s counsel, that the trial judge misdirected himself in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treating the confession as the basis of the evidence against a co-accused and then looking for corroboration,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we are abundantly satisfied from the authorities cited above that the approach is the wrong one and that a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confession can only be used as lending assurance for other evidence against the co-accused, evidence which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only falls short by a very narrow margin of the standard of proof necessary for a conviction.”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Gopa’s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decided twenty years ago was an appeal from the decision of this court regarding the use of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confessions against co-accused under s. 30 of the Indian Evidence Act then in force in this country. This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interpretation of s. 30 agreed with the commentaries by various authors on that section, including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Woodroffe’s Law of Evidence Applicable to British India</w:t>
      </w:r>
      <w:r>
        <w:rPr>
          <w:rFonts w:ascii="Times New Roman" w:hAnsi="Times New Roman" w:cs="Times New Roman"/>
          <w:color w:val="000000"/>
        </w:rPr>
        <w:t xml:space="preserve">, 9th </w:t>
      </w:r>
      <w:proofErr w:type="spellStart"/>
      <w:r>
        <w:rPr>
          <w:rFonts w:ascii="Times New Roman" w:hAnsi="Times New Roman" w:cs="Times New Roman"/>
          <w:color w:val="000000"/>
        </w:rPr>
        <w:t>Edn</w:t>
      </w:r>
      <w:proofErr w:type="spellEnd"/>
      <w:r>
        <w:rPr>
          <w:rFonts w:ascii="Times New Roman" w:hAnsi="Times New Roman" w:cs="Times New Roman"/>
          <w:color w:val="000000"/>
        </w:rPr>
        <w:t>. The author states at p. 312: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law which prevailed before the passing of this Act required a conviction to be based on evidence,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excluding from that term statements of the character mentioned in this section (Section 30). And in so far as a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statement by a witness only is ‘evidence’ according to the definition given of that term when used in this Act,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 confession by an accused person affecting himself and his co-accused is not ‘evidence’ in that special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sense. . . . The wording, however, of this section (which is an exception) shows that such a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confession is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merely to be an element in the consideration of all the facts of the case; while allowing it to be so considered,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 does not do away with the necessity of other evidence. For even when regarded as evidence and taken at its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highest value, it is of too weak a character to found a conviction upon it alone and hence corroboration should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required in all cases. If instead of being the statement of a fellow-prisoner, it had been evidence given on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oath and on examination as a witness, it would not have been anything other than the evidence of an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accomplice, which in general, requires corroboration before being acted upon, and if the testimony of an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accomplice before the Court under the sanction of an oath and a process of careful examination and capable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being tested by cross-examination, is yet by its nature such that, as against an accused, it must be received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 caution, still more so must be the confession of a fellow-prisoner, which is only the bare statement of an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accomplice limited to just so much as the confessing person chose to say, and guaranteed by nothing except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peril into which it brings the speaker and which it is generally fashioned to lessen.”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think this is an appropriate stage for me to set out in full s. 33 of the Evidence Act 1967: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33 (1) When two or more persons are being tried jointly for the same offence or for different offences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arising out of the same transaction, and a confession made by one of such persons affecting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himself and some other of such persons is proved, the Court may take into consideration such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confession as against such other persons.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In this section “offence” includes the abetment of or attempt to commit the offence.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Apart from inconsequential variations, the section is identical to s. 30 of the Indian Evidence Act.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controversy surrounding s. 33 as was ably demonstrated by Mr. </w:t>
      </w:r>
      <w:proofErr w:type="spellStart"/>
      <w:r>
        <w:rPr>
          <w:rFonts w:ascii="Times New Roman" w:hAnsi="Times New Roman" w:cs="Times New Roman"/>
          <w:color w:val="000000"/>
        </w:rPr>
        <w:t>Hindocha</w:t>
      </w:r>
      <w:proofErr w:type="spellEnd"/>
      <w:r>
        <w:rPr>
          <w:rFonts w:ascii="Times New Roman" w:hAnsi="Times New Roman" w:cs="Times New Roman"/>
          <w:color w:val="000000"/>
        </w:rPr>
        <w:t xml:space="preserve"> can be split into two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main parts. The first part is whether the confessions admitted under that section can properly be regarded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evidence under s. 3 of the Act. The second part is the meaning to be given to the phrase “may take into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consideration” as used in the section.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regard to the first part, Mr. </w:t>
      </w:r>
      <w:proofErr w:type="spellStart"/>
      <w:r>
        <w:rPr>
          <w:rFonts w:ascii="Times New Roman" w:hAnsi="Times New Roman" w:cs="Times New Roman"/>
          <w:color w:val="000000"/>
        </w:rPr>
        <w:t>Hindocha</w:t>
      </w:r>
      <w:proofErr w:type="spellEnd"/>
      <w:r>
        <w:rPr>
          <w:rFonts w:ascii="Times New Roman" w:hAnsi="Times New Roman" w:cs="Times New Roman"/>
          <w:color w:val="000000"/>
        </w:rPr>
        <w:t xml:space="preserve"> submitted as indicated earlier that confessions under s. 33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not evidence within the meaning of the Evidence Act 1967, that they merely form an element in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consideration of other evidence in the case. In this he appears to be well supported by the commentaries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Indian Evidence Act as in Woodroffe quoted earlier in this judgment when the author states at p.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312: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“And in so far as a statement by a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witness only </w:t>
      </w:r>
      <w:r>
        <w:rPr>
          <w:rFonts w:ascii="Times New Roman" w:hAnsi="Times New Roman" w:cs="Times New Roman"/>
          <w:color w:val="000000"/>
          <w:sz w:val="20"/>
          <w:szCs w:val="20"/>
        </w:rPr>
        <w:t>is ‘evidence’ according to the definition given of that term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when used in this Act, a confession by an accused person affecting himself and his co-accused is not evidence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that special sense.”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of course is a commentary under s. 30 of the Indian Act which defines “evidence” under s. 3 as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follows: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“3. ‘Evidence’ means and includes: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1 .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statements which the Court permits or requires to be made before it by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witnesses </w:t>
      </w:r>
      <w:r>
        <w:rPr>
          <w:rFonts w:ascii="Times New Roman" w:hAnsi="Times New Roman" w:cs="Times New Roman"/>
          <w:color w:val="000000"/>
          <w:sz w:val="20"/>
          <w:szCs w:val="20"/>
        </w:rPr>
        <w:t>in relation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matters of fact under inquiry: such statements are called oral evidence.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2 .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documents produced for the inspection of the Court: such documents are called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documentary evidence.”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question therefore is whether, if Mr. </w:t>
      </w:r>
      <w:proofErr w:type="spellStart"/>
      <w:r>
        <w:rPr>
          <w:rFonts w:ascii="Times New Roman" w:hAnsi="Times New Roman" w:cs="Times New Roman"/>
          <w:color w:val="000000"/>
        </w:rPr>
        <w:t>Hindocha’s</w:t>
      </w:r>
      <w:proofErr w:type="spellEnd"/>
      <w:r>
        <w:rPr>
          <w:rFonts w:ascii="Times New Roman" w:hAnsi="Times New Roman" w:cs="Times New Roman"/>
          <w:color w:val="000000"/>
        </w:rPr>
        <w:t xml:space="preserve"> submission is correct in law, the commentaries in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Woodroffe would be applicable to the confessions under s. 3 of our Evidence Act which defines evidence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follows: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“3(1) In this Act the following words and expressions are used in the following sense unless a contrary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intention appears from the context: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‘evidence’ denotes the means by which an alleged matter of fact, the truth which is submitted to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investigation is proved or disproved, and without prejudice to the foregoing generality, includes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statements by accused persons, admissions and observations by the Court in its judicial capacity.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‘Documentary evidence’ means all documents produced as evidence before the Court.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‘Oral evidence’ means all statements which the Court permits or requires to be made before it by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witnesses in relation to matters of fact under inquiry.”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There is therefore I think a marked difference in scope between what is “evidence” under the Indian Act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under the Tanzanian Act. Whereas under the Indian Act the term “evidence” is limited only to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statements which the court permits or requires to be made before it </w:t>
      </w:r>
      <w:r>
        <w:rPr>
          <w:rFonts w:ascii="Times New Roman" w:hAnsi="Times New Roman" w:cs="Times New Roman"/>
          <w:i/>
          <w:iCs/>
          <w:color w:val="000000"/>
        </w:rPr>
        <w:t>by witnesses</w:t>
      </w:r>
      <w:r>
        <w:rPr>
          <w:rFonts w:ascii="Times New Roman" w:hAnsi="Times New Roman" w:cs="Times New Roman"/>
          <w:color w:val="000000"/>
        </w:rPr>
        <w:t>; under the Tanzanian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Act, “evidence” includes statements by accused persons, admissions and observations by the court. This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definition is wide enough to include statements by accused persons in the form of confessions and proved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use in the circumstances provided for under s. 33 of the Act. If the confessions were reduced to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writing, then on being proved in court and admitted, they are documentary evidence as defined by that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Act. The result of this therefore is that although in general the commentaries on the Indian Act are of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great persuasive value when interpreting the Evidence Act 1967 which is modelled on it, this will very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much depend on whether the particular provision in the Tanzanian Act bears any material variation from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Indian counterpart. I think s. 3 of the Tanzanian Act bears such material differences and variations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sufficient to render the commentaries on s. 3 of the Indian Act inapplicable to it. Therefore, unlike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Indian Act, the confessions of an accused, proved and admitted for </w:t>
      </w:r>
      <w:r>
        <w:rPr>
          <w:rFonts w:ascii="Times New Roman" w:hAnsi="Times New Roman" w:cs="Times New Roman"/>
          <w:color w:val="000000"/>
        </w:rPr>
        <w:lastRenderedPageBreak/>
        <w:t>use in the circumstances provided in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s. 33 of the Tanzanian Evidence Act can be treated as evidence within the meaning of s. 3 of that Act,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that therefore the magistrate was right in treating them as such.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will now turn to the second part regarding the meaning and significance to be given to the phrase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“may take into consideration” used in s. 33 of the Evidence Act. Mr. </w:t>
      </w:r>
      <w:proofErr w:type="spellStart"/>
      <w:r>
        <w:rPr>
          <w:rFonts w:ascii="Times New Roman" w:hAnsi="Times New Roman" w:cs="Times New Roman"/>
          <w:color w:val="000000"/>
        </w:rPr>
        <w:t>Hindocha</w:t>
      </w:r>
      <w:proofErr w:type="spellEnd"/>
      <w:r>
        <w:rPr>
          <w:rFonts w:ascii="Times New Roman" w:hAnsi="Times New Roman" w:cs="Times New Roman"/>
          <w:color w:val="000000"/>
        </w:rPr>
        <w:t xml:space="preserve"> submitted, and again he is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well supported by the existing authorities under s. 30 of the Indian Evidence Act, that the magistrate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erred in treating the confessions as substantive evidence and then looking for corroborative evidence in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support thereof because at best these confessions could only be used to lend assurance to other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substantial independent evidence. If my understanding of this submission and the authorities which were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cited is correct, it appears to say no more than this, that the confessions which are proved and admitted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purposes of s. 33, are not evidence and therefore cannot be corroborated as to their truth, but they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 only be used to support or in the words of commentators “to lend assurance to other evidence”. In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words, while they can be used to support and establish the truth of other evidence, their own truth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cannot be supported and shown by other evidence. Quite a feat in mental gymnastics, but I think that this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view is largely a product of the meaning attached to “evidence” in the Indian Act from which confessions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proved and admitted for use under s. 30 are excluded. Woodroffe has an exceedingly illuminating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paragraph on the meaning to be attached to the phrase, at p. 312 he states: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“By this section, (i.e. s. 30), the legislature has only bestowed a discretion upon the court to take into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consideration such confession. While under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S. 21 admissions (which include confessions) are relevant and may be used against the person making them,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present section merely provides that the court may take them into consideration against other persons; and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this distinction is significant and shows that under this section the court can only treat a confession as lending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assurance to other evidence against a co-accused.”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What the author has done here is to interpret s. 30 which deals with confessions, by comparing its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wording with s. 21 which deals with admissions, which according to him include confessions. S. 21 is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equivalent of s. 23 in the Tanzanian Act. But I think that this comparison is misleading. In the first place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the courts have recognized over the years, there is a real distinction between admissions and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confessions, and this distinction is, in the words of the Court of Appeal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Gopa’s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case, not a technical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refinement. Their Lordships stated at p. 320 quoting an American jurist: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“This distinction between a confession and an admission as applied to criminal law, is not a technical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refinement but based upon the substantive differences of the character of the evidence deduced from each. A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confession is a direct acknowledgement of guilt on the part of the accused and by the very force of the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definition, excludes an admission, which of itself as applied in Criminal law, is a statement by the accused,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direct or implied of facts pertinent to the issue and tending in connection with proof of other facts to prove his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guilt, but of itself insufficient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authorise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conviction.”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second </w:t>
      </w:r>
      <w:proofErr w:type="spellStart"/>
      <w:r>
        <w:rPr>
          <w:rFonts w:ascii="Times New Roman" w:hAnsi="Times New Roman" w:cs="Times New Roman"/>
          <w:color w:val="000000"/>
        </w:rPr>
        <w:t>place s</w:t>
      </w:r>
      <w:proofErr w:type="spellEnd"/>
      <w:r>
        <w:rPr>
          <w:rFonts w:ascii="Times New Roman" w:hAnsi="Times New Roman" w:cs="Times New Roman"/>
          <w:color w:val="000000"/>
        </w:rPr>
        <w:t xml:space="preserve">. 21 (or </w:t>
      </w:r>
      <w:proofErr w:type="spellStart"/>
      <w:r>
        <w:rPr>
          <w:rFonts w:ascii="Times New Roman" w:hAnsi="Times New Roman" w:cs="Times New Roman"/>
          <w:color w:val="000000"/>
        </w:rPr>
        <w:t>our s</w:t>
      </w:r>
      <w:proofErr w:type="spellEnd"/>
      <w:r>
        <w:rPr>
          <w:rFonts w:ascii="Times New Roman" w:hAnsi="Times New Roman" w:cs="Times New Roman"/>
          <w:color w:val="000000"/>
        </w:rPr>
        <w:t>. 23) provides for the use of admissions against their makers whereas s.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30 (or </w:t>
      </w:r>
      <w:proofErr w:type="spellStart"/>
      <w:r>
        <w:rPr>
          <w:rFonts w:ascii="Times New Roman" w:hAnsi="Times New Roman" w:cs="Times New Roman"/>
          <w:color w:val="000000"/>
        </w:rPr>
        <w:t>our s</w:t>
      </w:r>
      <w:proofErr w:type="spellEnd"/>
      <w:r>
        <w:rPr>
          <w:rFonts w:ascii="Times New Roman" w:hAnsi="Times New Roman" w:cs="Times New Roman"/>
          <w:color w:val="000000"/>
        </w:rPr>
        <w:t>. 33) provides for the use of confessions against persons other than their makers. In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the wording of one section cannot be used to interpret, by way of comparison, the wording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other, dealing as they are not only with different situations, but with different objects.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clear then that the view on confessions admitted for use in the circumstances provided under s. 30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Indian Evidence </w:t>
      </w:r>
      <w:r w:rsidR="00B13D0C">
        <w:rPr>
          <w:rFonts w:ascii="Times New Roman" w:hAnsi="Times New Roman" w:cs="Times New Roman"/>
          <w:color w:val="000000"/>
        </w:rPr>
        <w:t>Act that</w:t>
      </w:r>
      <w:r>
        <w:rPr>
          <w:rFonts w:ascii="Times New Roman" w:hAnsi="Times New Roman" w:cs="Times New Roman"/>
          <w:color w:val="000000"/>
        </w:rPr>
        <w:t xml:space="preserve"> they can do no more than lend assurance to other evidence, was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developed under the influence of three factors all of which are peculiar to that Act. The first factor was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view that these confessions are not evidence with the meaning of s. 3 of that Act and that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consequently they can neither </w:t>
      </w:r>
      <w:r w:rsidR="00B13D0C">
        <w:rPr>
          <w:rFonts w:ascii="Times New Roman" w:hAnsi="Times New Roman" w:cs="Times New Roman"/>
          <w:color w:val="000000"/>
        </w:rPr>
        <w:t>standalone</w:t>
      </w:r>
      <w:r>
        <w:rPr>
          <w:rFonts w:ascii="Times New Roman" w:hAnsi="Times New Roman" w:cs="Times New Roman"/>
          <w:color w:val="000000"/>
        </w:rPr>
        <w:t xml:space="preserve"> nor be supported by other evidence, they can only be used in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support of other evidence. The second factor was the false comparison that was made by the text writers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between admissions under s. 21 and confessions under s. 30. The third and last factor was what is clearly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manifestation of dislike for this section by those who had to administer it in India, who regarded it as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anything from dangerous to extraordinary. My task therefore is to interpret the phrase “May take into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consideration” in s. 33 of our Evidence Act free from these Indian influences, the aim being to arrive at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interpretation which will ensure a just decision, just, in the sense that the section is neither a loop-hole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through which the guilty escape nor a </w:t>
      </w:r>
      <w:proofErr w:type="spellStart"/>
      <w:r>
        <w:rPr>
          <w:rFonts w:ascii="Times New Roman" w:hAnsi="Times New Roman" w:cs="Times New Roman"/>
          <w:color w:val="000000"/>
        </w:rPr>
        <w:t>snare</w:t>
      </w:r>
      <w:proofErr w:type="spellEnd"/>
      <w:r>
        <w:rPr>
          <w:rFonts w:ascii="Times New Roman" w:hAnsi="Times New Roman" w:cs="Times New Roman"/>
          <w:color w:val="000000"/>
        </w:rPr>
        <w:t xml:space="preserve"> for the innocent.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have already held that the confessions of an accused proved and admitted under s. 33 are evidence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within the meaning of s. 3 of the Act. The only question is the extent to which this kind of evidence can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 used against a co-accused. Since, as I have ruled such confessions are </w:t>
      </w:r>
      <w:r>
        <w:rPr>
          <w:rFonts w:ascii="Times New Roman" w:hAnsi="Times New Roman" w:cs="Times New Roman"/>
          <w:color w:val="000000"/>
        </w:rPr>
        <w:lastRenderedPageBreak/>
        <w:t>evidence, certain results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immediately follow. The first is that they can stand on their own. The second is that they can support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evidence, and the third is that they can themselves be supported by other evidence in other words to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lend them more assurance. It follows that they can be used to the same extent as other evidence subject of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course to any exclusionary rules that may be applicable and to such additional requirements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corroboration. There are of course pronouncements scattered in the authorities to the effect that such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is in any case weaker and on a lower scale than accomplice evidence because the latter is made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oath and the former is not. The passage from Woodroffe quoted earlier, puts the position extremely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well: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“. . . If instead of being the statement of a fellow prisoner it had been evidence given on oath and on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cross-examination as a witness, it would not have been anything other than the evidence of an accomplice,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which, in general, requires corroboration in order to its acceptance; and if the testimony of an accomplice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given before the Court under sanction of an oath and a process of careful examination, and capable of being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tested by cross-examination, is yet by its nature, such that, as against an accused, it must be received with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caution, still more so must be the confession of a fellow prisoner which is only the bare statement of an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accomplice, limited to just so much as the confessing person chose to say, and guaranteed by nothing except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peril into which it brings the speaker and which it is generally fashioned to lessen.”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With respect, this passage assumes a number of things to be true, but on closer examination appear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doubtful. Is it necessarily true for instance that the sanction of an oath is a more effective guarantee of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truth than the peril to which a confessing prisoner subjects himself? To me the peril which one faces by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confessing to a crime is more real than the imaginary sanction of an oath. Witnesses lie in various courts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every day and yet prosecutions for perjury are only known by their absence. For my part therefore,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self-incrimination is a greater guarantee of truth than an oath, and that barring malice, a confession by an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accused fully implicating himself and also his co-accused has a greater guarantee of truth than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of an accomplice who faces no real prospect of penalties himself and in fact may be under a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promise of pardon. Examination or cross-examination however careful, cannot extract the truth from a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witness determined to tell falsehoods against others to save his own skin.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would therefore say that the requirements to be applied to extra-judicial statements, whether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retracted or not sought to be used against accused persons other than their makers under s. 33 of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Act, are first to determine and make a finding whether such a statement amounts to a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confession, secondly the extra-judicial statement must be proved in court, and thirdly it must be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corroborated in material particulars unless the court is otherwise satisfied as to its truth. Once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statement is found to possess these requirements, it can be used as evidence, that is to say in the words of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section itself, the court may take it into consideration as evidence against the other accused person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implicated in it in considering the guilt or otherwise of such other accused person. If the court is satisfied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hearing all the evidence that the confession is as true to such other accused as it is to its maker, then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can see no reasons for the court to refrain from convicting such other accused. But the court must find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accept its truth.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will therefore conclude this part of the judgment by stating that in a proper case, a court of law can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and convict solely under the evidence proved and admitted under s. 33 of the Evidence Act.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Consequently in this case, I will only quarrel with the findings of the resident magistrate if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extra-judicial statements which were made by the first and fourth accused persons do not possess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requirements laid down in this judgment.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Earlier in this judgment I said that the evidence against the third accused consisted wholly of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extra-judicial statements, implicating him, made by his co-accused, namely the first, second and fourth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accused. Therefore the first question to be determined is whether these statements or any of them amount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confessions so as to consider them against the third accused under s. 33 of the Evidence Act. The rule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course is that to render the statement of one person jointly tried with another for the same offence,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liable to consideration against that other, it is necessary that it should amount to a distinct confession of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offence charged. Woodroffe puts it succinctly at p. 310: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“Before a confession of a person jointly charged and tried with the prisoner can be taken into consideration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against him, it must appear that that confession implicates the confessing person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substantially to the same</w:t>
      </w:r>
      <w:r w:rsidR="00B13D0C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extent </w:t>
      </w:r>
      <w:r>
        <w:rPr>
          <w:rFonts w:ascii="Times New Roman" w:hAnsi="Times New Roman" w:cs="Times New Roman"/>
          <w:color w:val="000000"/>
          <w:sz w:val="20"/>
          <w:szCs w:val="20"/>
        </w:rPr>
        <w:t>as it implicates the person against whom it is to be used in the commission of the offence for which the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prisoners are being jointly tried.”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same rule was approved and applied by the Court of Appeal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Kyabanamaizi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R</w:t>
      </w:r>
      <w:r>
        <w:rPr>
          <w:rFonts w:ascii="Times New Roman" w:hAnsi="Times New Roman" w:cs="Times New Roman"/>
          <w:color w:val="000000"/>
        </w:rPr>
        <w:t xml:space="preserve">., [1962] </w:t>
      </w:r>
      <w:r>
        <w:rPr>
          <w:rFonts w:ascii="Times New Roman" w:hAnsi="Times New Roman" w:cs="Times New Roman"/>
          <w:color w:val="000000"/>
        </w:rPr>
        <w:lastRenderedPageBreak/>
        <w:t>E.A. 309.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Forbes, V.-P. as he then was stated at p. 315 quoting </w:t>
      </w:r>
      <w:r>
        <w:rPr>
          <w:rFonts w:ascii="Times New Roman" w:hAnsi="Times New Roman" w:cs="Times New Roman"/>
          <w:i/>
          <w:iCs/>
          <w:color w:val="000000"/>
        </w:rPr>
        <w:t>Sarkar on Evidence</w:t>
      </w:r>
      <w:r>
        <w:rPr>
          <w:rFonts w:ascii="Times New Roman" w:hAnsi="Times New Roman" w:cs="Times New Roman"/>
          <w:color w:val="000000"/>
        </w:rPr>
        <w:t>: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is abundantly clear from the relevant cases on the point that in order that the statement of an accused may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taken into consideration against his co-accused tried jointly for the same offence, it must implicate himself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substantially to the same extent as others, and must expose himself to the same risk along with the fellow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prisoners, otherwise the confession cannot be taken into consideration under this section. If the statement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implicates him as fully as the others, or in a greater degree, it is then only that it can afford a sort of safeguard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truth. If the statement criminates the maker partially or in a lesser degree, or throws the main burden of the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blame on others, it cannot be used against his co-accused. Statements however criminating made in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self-exculpation or in mitigation of guilt, are self-serving statements and are not admissible. A statement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falling short of actual admission of guilt would be a mere inculpatory admission and not a confession at all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within the meaning of Section 30. All that the section requires is that it must be a ‘confession’ and that the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statement of the confessing person must implicate himself substantially to the same extent as it implicates the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others.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appears that the real test is not whether the confessing accused ascribes to himself a major or minimum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 in the crime, but whether when implicating his co-accused he gives a full and true account of the crime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unreservedly confesses his own share of the guilt, i.e. implicates himself as fully substantially as his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co-accused. It may be that the part assigned to him was not a leading or major one, but in any case there must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a confession to the fullest extent of whatever part he took in the commission of the crime. It is in this sense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the confession must ‘affect them both equally’. It is only a statement of this kind that can be said to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implicate the confessing accused ‘substantially to the same extent’ as it implicates the others. When there is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 full and complete confession of his own guilt and the part taken by him in the crime, but an embroidered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story spun out with the object of clearing himself or reducing his own guilt at the expense of others, it is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nothing but an explanation of an exculpatory nature or a self-serving statement.”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How then does each statement in this case measure up to these tests? The first accused stated in his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statement before the magistrate that he was employed by the third accused to carry these goods, that 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at the time not worried because he believed the goods lawfully belonged to the third accused.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Similarly the second accused stated that he was hired by the third accused to carry these goods, that 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believed the representations of the third accused that the goods were his. In fact, he went on, he had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turned down an earlier offer by the third accused because he suspected then that the transaction was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illegal. The fourth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accused made a similar allegation that he was an innocent hired hand of the third accused to whom 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genuinely believed the goods lawfully belonged.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Now, can these extra-judicial statements be said to be full confessions of the guilt of each of their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makers, in other words do they implicate each maker of them as fully and substantially to the same extent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the third accused? I think not. The whole burden of guilt in each of these statements is off-loaded from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maker onto the third accused. For they are all saying, “</w:t>
      </w:r>
      <w:proofErr w:type="gramStart"/>
      <w:r>
        <w:rPr>
          <w:rFonts w:ascii="Times New Roman" w:hAnsi="Times New Roman" w:cs="Times New Roman"/>
          <w:color w:val="000000"/>
        </w:rPr>
        <w:t>we</w:t>
      </w:r>
      <w:proofErr w:type="gramEnd"/>
      <w:r>
        <w:rPr>
          <w:rFonts w:ascii="Times New Roman" w:hAnsi="Times New Roman" w:cs="Times New Roman"/>
          <w:color w:val="000000"/>
        </w:rPr>
        <w:t xml:space="preserve"> are innocent because we did not know at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time that the third accused was involved in some criminal activities”. These statements cannot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therefore pass the test laid down by the Court of Appeal 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Ezera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quoted above, because they do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contain the full confession of the guilt of each of their makers, they are designed to clear the makers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the expense of their co-accused, they are therefore nothing but explanations of an exculpatory nature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self-serving statements, thereby robbing them of all guarantee of truth. They are for this reason not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confessions within the meaning of s. 33 of the Evidence Act 1967 and that therefore the resident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 erred in using them against the third accused. He could only use them against their makers.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For, as the Court of Appeal stated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Anyangu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R</w:t>
      </w:r>
      <w:r>
        <w:rPr>
          <w:rFonts w:ascii="Times New Roman" w:hAnsi="Times New Roman" w:cs="Times New Roman"/>
          <w:color w:val="000000"/>
        </w:rPr>
        <w:t>., [1968] E.A. 239 at p. 240: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 statement which does not amount to a confession is only evidence against the maker.”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second error with regard to the case against the third accused was that these statements were not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proved in court as required by s. 33 of the Act. For, although this section allows a confession to be used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another accused, it yet requires that such confession should be “proved” as against the accused to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whose prejudice it is to be used. As Woodroffe puts it at p. 312: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“When a confession is used for the purpose of this section, the person to be affected by it has a right to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demand that it be strictly proved and shown to have been in all essential respects, taken and recorded as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prescribed by law. . . . What is contemplated is a formal proof by the prosecution of a confession previously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made.”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record of the lower court does not show that this additional requirement as to proof was complied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with. The magistrate who allegedly recorded these statements was allowed to tender them above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makers’ protests.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Having removed the statements as against the third accused, is there any other evidence to support </w:t>
      </w:r>
      <w:r>
        <w:rPr>
          <w:rFonts w:ascii="Times New Roman" w:hAnsi="Times New Roman" w:cs="Times New Roman"/>
          <w:color w:val="000000"/>
        </w:rPr>
        <w:lastRenderedPageBreak/>
        <w:t>his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conviction? There is none. The magistrate’s hypothesis, regarding the “misplacement” of the “sick”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wagon was wholly based on the contents of these extra-judicial statements. Remove the statements and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hypothesis crumbles. There was therefore in law no evidence presented against the third accused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during his trial in the lower court, and I have no alternative in the circumstances but to allow his appeal.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will now turn to the first accused </w:t>
      </w:r>
      <w:proofErr w:type="spellStart"/>
      <w:r>
        <w:rPr>
          <w:rFonts w:ascii="Times New Roman" w:hAnsi="Times New Roman" w:cs="Times New Roman"/>
          <w:color w:val="000000"/>
        </w:rPr>
        <w:t>Samwel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Mfunya</w:t>
      </w:r>
      <w:proofErr w:type="spellEnd"/>
      <w:r>
        <w:rPr>
          <w:rFonts w:ascii="Times New Roman" w:hAnsi="Times New Roman" w:cs="Times New Roman"/>
          <w:color w:val="000000"/>
        </w:rPr>
        <w:t>. His appeal against conviction has no merit, for 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caught red-handed by police dogs at the scene of crime. The trial magistrate accepted the prosecution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and rejected his version, and for my part, rightly so. His appeal against conviction is dismissed.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regard to sentence, the magistrate imposed the maximum, i.e. seven years’ imprisonment, but I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cannot see how anyone can complain against such a sentence for an offence of stealing property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belonging to a public corporation worth over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15,000/-. The Railways Corporation was the special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owner of these goods as defined under s. 258 of the Penal Code. The minimum sentence for this offence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s. 5 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of the Minimum Sentences Act 1972 is five years, and although all the stolen property was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recovered, this does not reduce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seriousness of the original scheme. Therefore, although perhaps I would not myself have imposed such a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sentence, this cannot be a reason for intervention, as a sentence of seven years under these circumstances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cannot be regarded as manifestly excessive to justify the intervention by this court. There are cases, and I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think this is one of them, which deserve the imposition of maximum penalties under the law, if only to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instil</w:t>
      </w:r>
      <w:proofErr w:type="spellEnd"/>
      <w:r>
        <w:rPr>
          <w:rFonts w:ascii="Times New Roman" w:hAnsi="Times New Roman" w:cs="Times New Roman"/>
          <w:color w:val="000000"/>
        </w:rPr>
        <w:t xml:space="preserve"> into the minds of these thieves that the courts will always treat with unusual seriousness offences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public property. After all public property is the cornerstone of our society. I have therefore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nothing but commendation for the trial magistrate in this case for treating offences against public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property with the seriousness that they deserve. In the result, the appeal against sentence is also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dismissed and the sentence which requires the confirmation of this court is hereby confirmed.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lastly the fourth accused, Vincent </w:t>
      </w:r>
      <w:proofErr w:type="spellStart"/>
      <w:r>
        <w:rPr>
          <w:rFonts w:ascii="Times New Roman" w:hAnsi="Times New Roman" w:cs="Times New Roman"/>
          <w:color w:val="000000"/>
        </w:rPr>
        <w:t>Kitumbo</w:t>
      </w:r>
      <w:proofErr w:type="spellEnd"/>
      <w:r>
        <w:rPr>
          <w:rFonts w:ascii="Times New Roman" w:hAnsi="Times New Roman" w:cs="Times New Roman"/>
          <w:color w:val="000000"/>
        </w:rPr>
        <w:t>. As I stated at the beginning of this judgment,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against him consisted of a retracted extra-judicial statement which he made to a primary court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magistrate. In this statement he admitted being part of the group which raided the railway wagon, but 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said that he had simply been hired by the third accused at the rate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150/- per trip and that the third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accused had specifically sent for him from </w:t>
      </w:r>
      <w:proofErr w:type="spellStart"/>
      <w:r>
        <w:rPr>
          <w:rFonts w:ascii="Times New Roman" w:hAnsi="Times New Roman" w:cs="Times New Roman"/>
          <w:color w:val="000000"/>
        </w:rPr>
        <w:t>Kigoma</w:t>
      </w:r>
      <w:proofErr w:type="spellEnd"/>
      <w:r>
        <w:rPr>
          <w:rFonts w:ascii="Times New Roman" w:hAnsi="Times New Roman" w:cs="Times New Roman"/>
          <w:color w:val="000000"/>
        </w:rPr>
        <w:t>. He went on to state that he did not know at the time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they were handling stolen property. During his trial, he retracted this statement saying that he was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beaten into making it and that in fact it was dictated to him by police officers. According to his evidence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court, he was simply arrested by police on the morning of 16 August 1972.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magistrate directed his mind to the law regarding retracted confessions and following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decision of the Court of Appeal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Tuwamoi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Uganda</w:t>
      </w:r>
      <w:r>
        <w:rPr>
          <w:rFonts w:ascii="Times New Roman" w:hAnsi="Times New Roman" w:cs="Times New Roman"/>
          <w:color w:val="000000"/>
        </w:rPr>
        <w:t>, [1967] E.A. 84, the magistrate held in effect that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retracted confession must be corroborated in material particulars by independent evidence, before it can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acted upon. He found that the fourth accused’s statement had been so corroborated and convicted him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it. I think I should say a word or two about the law governing retracted confessions as adverted to by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magistrate. He certainly cannot be faulted for holding as he did that a retracted confession must be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corroborated, for he was bound by the decision of this court in the case he quoted </w:t>
      </w:r>
      <w:r>
        <w:rPr>
          <w:rFonts w:ascii="Times New Roman" w:hAnsi="Times New Roman" w:cs="Times New Roman"/>
          <w:i/>
          <w:iCs/>
          <w:color w:val="000000"/>
        </w:rPr>
        <w:t xml:space="preserve">R.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Melanyi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(1971),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H.C.D. 398 in which </w:t>
      </w:r>
      <w:proofErr w:type="spellStart"/>
      <w:r>
        <w:rPr>
          <w:rFonts w:ascii="Times New Roman" w:hAnsi="Times New Roman" w:cs="Times New Roman"/>
          <w:color w:val="000000"/>
        </w:rPr>
        <w:t>Kwikima</w:t>
      </w:r>
      <w:proofErr w:type="spellEnd"/>
      <w:r>
        <w:rPr>
          <w:rFonts w:ascii="Times New Roman" w:hAnsi="Times New Roman" w:cs="Times New Roman"/>
          <w:color w:val="000000"/>
        </w:rPr>
        <w:t xml:space="preserve">, Ag. J. stated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: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is trite law, and authorities abound on this point, that an admission or confession which has been retracted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cannot support a conviction unless it is corroborated by other evidence.”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stating this, his Lordship said that he was following among other authorities, the Court of Appeal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decision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Tuwamoi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Uganda</w:t>
      </w:r>
      <w:r>
        <w:rPr>
          <w:rFonts w:ascii="Times New Roman" w:hAnsi="Times New Roman" w:cs="Times New Roman"/>
          <w:color w:val="000000"/>
        </w:rPr>
        <w:t>, [1967] E.A. 84. But, I think, with respect, that this is exactly what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learned Appeal judges did not say 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Tuwamoi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case. As it is clear from the facts of that case, the court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grappling with the problem whether in practice there should be a distinction in the treatment between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retracted and repudiated confessions, because earlier judgments of that court notably </w:t>
      </w:r>
      <w:r>
        <w:rPr>
          <w:rFonts w:ascii="Times New Roman" w:hAnsi="Times New Roman" w:cs="Times New Roman"/>
          <w:i/>
          <w:iCs/>
          <w:color w:val="000000"/>
        </w:rPr>
        <w:t xml:space="preserve">R.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Labasha</w:t>
      </w:r>
      <w:proofErr w:type="spellEnd"/>
      <w:r w:rsidR="00B13D0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(1936), (3) E.A.C.A. 48 and later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Gathungu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R</w:t>
      </w:r>
      <w:r>
        <w:rPr>
          <w:rFonts w:ascii="Times New Roman" w:hAnsi="Times New Roman" w:cs="Times New Roman"/>
          <w:color w:val="000000"/>
        </w:rPr>
        <w:t>. (1953), 20 E.A.C.A. 294, had ruled that there is in fact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a distinction in that a retracted confession must be corroborated whereas a repudiated confession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need not. In resolving this problem, the court traced the history of the rule governing retracted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confessions. Their Lordships found that the first reported East African case on the point was </w:t>
      </w:r>
      <w:r>
        <w:rPr>
          <w:rFonts w:ascii="Times New Roman" w:hAnsi="Times New Roman" w:cs="Times New Roman"/>
          <w:i/>
          <w:iCs/>
          <w:color w:val="000000"/>
        </w:rPr>
        <w:t>R. v.</w:t>
      </w:r>
      <w:r w:rsidR="00B13D0C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Mutwiwa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(1935), 2 E.A.C.A. 66, in which it was held: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“It is not safe to act on a retracted confession of an accused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person unless it is corroborated in material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particulars.”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restricted view was expanded in later cases starting with </w:t>
      </w:r>
      <w:r>
        <w:rPr>
          <w:rFonts w:ascii="Times New Roman" w:hAnsi="Times New Roman" w:cs="Times New Roman"/>
          <w:i/>
          <w:iCs/>
          <w:color w:val="000000"/>
        </w:rPr>
        <w:t xml:space="preserve">R.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Keisheimeiza</w:t>
      </w:r>
      <w:proofErr w:type="spellEnd"/>
      <w:r w:rsidR="00B13D0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(1940), 7 E.A.C.A. 67 in which the same court held that the danger of acting upon a retracted confession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absence of corroboration must depend to some extent upon the manner in which the retraction is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made. Whitley, C.J. continued: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“We agree that in ordinary cases as a general rule when a confession is definitely and categorically retracted,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 is unsafe for the Court to act upon it without corroboration, but if after enquiring into all the material points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surrounding circumstances the Court is fully satisfied that the confession cannot but be true there is no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reason in law why the Court should not act upon it.”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ending with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Kamau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R</w:t>
      </w:r>
      <w:r>
        <w:rPr>
          <w:rFonts w:ascii="Times New Roman" w:hAnsi="Times New Roman" w:cs="Times New Roman"/>
          <w:color w:val="000000"/>
        </w:rPr>
        <w:t>, [1965] E.A. 501 where the court stated at p. 505: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“As we have earlier said, the other material evidence against the appellant was her own cautioned statement,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she retracted at the trial. In relation to this, the learned judge directed the assessors that it is dangerous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rely upon a retracted confession in the absence of corroboration, but that they might do so if fully satisfied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the confession must be true. . . . We think that the learned judge’s direction regarding retracted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confessions was correct.”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After considering this case, the court then </w:t>
      </w:r>
      <w:proofErr w:type="spellStart"/>
      <w:r>
        <w:rPr>
          <w:rFonts w:ascii="Times New Roman" w:hAnsi="Times New Roman" w:cs="Times New Roman"/>
          <w:color w:val="000000"/>
        </w:rPr>
        <w:t>summarised</w:t>
      </w:r>
      <w:proofErr w:type="spellEnd"/>
      <w:r>
        <w:rPr>
          <w:rFonts w:ascii="Times New Roman" w:hAnsi="Times New Roman" w:cs="Times New Roman"/>
          <w:color w:val="000000"/>
        </w:rPr>
        <w:t xml:space="preserve"> the present rule as follows at p. 89: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present rule then as applied in East Africa in regard to a retracted confession, is that as a matter of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practice or prudence the trial Court should direct itself that it is dangerous to act upon a statement which has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been retracted in the absence of corroboration in some material particular, but that the Court might do so if it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 fully satisfied in the circumstances of the case that the confession must be true.”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then is the extent to which the original restricted rule 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Mutwiwa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had been expanded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between 1940 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Keisheimeiza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 and 1967 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Tuwamoi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case. Having traced the history of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rule regarding retracted confessions thus far, the court then commented on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Labasha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which had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a distinction in the treatment to be accorded between retracted and repudiated confessions and held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p. 90: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“There are two matters of special significance in this judgment (i.e.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Labasha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judgment). The first point is that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when this judgment was delivered the law as to a retracted statement was still that as set out in the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Mutwiwa</w:t>
      </w:r>
      <w:proofErr w:type="spellEnd"/>
      <w:r w:rsidR="00B13D0C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case, that is that a retracted statement should be corroborated by other material evidence before a conviction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could safely be founded on it. This judgment was delivered in 1936 before later judgments of this Court made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 clear that a Court can found a conviction on such a statement even if there is no corroboration provided that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Court is fully satisfied in all the circumstances of the case that the confession must be true. We doubt very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much whether this Court would have made the distinction between a retracted and a repudiated confession if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rule of practice had been then so widely stated.”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with this the court effectively overruled its earlier decisions 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Labasha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Gathungu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cases.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would therefore say that the rule regarding retracted confessions as originally laid down in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Mutwiwa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 has over the years been expanded and that the position now is that as laid 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Tuwamoi</w:t>
      </w:r>
      <w:proofErr w:type="spellEnd"/>
      <w:r w:rsidR="00B13D0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case, the extension being that while mindful of the danger of acting on a retracted confession which has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been corroborated, a trial court can now act on such a retracted confession in the</w:t>
      </w:r>
      <w:r w:rsidR="00B13D0C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>absence of corroboration provided that the court is otherwise fully satisfied in the circumstances of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that the confession must be true. I think that this extension was a necessary corollary to the opinion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court 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Keisheimeiza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that the danger of acting upon a retracted confession in the absence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corroboration must depend to some extent upon the manner in which the retraction is made. In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circumstances, I am compelled to say with respect that the view laid down by </w:t>
      </w:r>
      <w:proofErr w:type="spellStart"/>
      <w:r>
        <w:rPr>
          <w:rFonts w:ascii="Times New Roman" w:hAnsi="Times New Roman" w:cs="Times New Roman"/>
          <w:color w:val="000000"/>
        </w:rPr>
        <w:t>Kwikima</w:t>
      </w:r>
      <w:proofErr w:type="spellEnd"/>
      <w:r>
        <w:rPr>
          <w:rFonts w:ascii="Times New Roman" w:hAnsi="Times New Roman" w:cs="Times New Roman"/>
          <w:color w:val="000000"/>
        </w:rPr>
        <w:t>, Ag. J. in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Melanyi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would take us forty years backwards.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will now consider the evidence on which this appellant, the fourth accused, was convicted. He was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convicted on his own statement which he retracted. I think it can be said without prejudice that other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things being present, the magistrate’s view on the statement was correct, as well as his founding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conviction on it. But there are certain unsatisfactory features regarding the way this statement was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admitted in evidence that has made me extremely uneasy as to whether this conviction should be upheld.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 Attorney quite understandably informed the court that he was not in a position to support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conviction of the fourth accused considering the improper manner in which his statement was admitted. I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share these views. As soon as the appellant indicated his retraction of this statement, the court was faced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immediately with the problem of resolving the voluntary nature of the statement, for the appellant alleged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he was beaten into making it. The court should have heard evidence on the point and then decided on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evidence whether the statement was voluntary. This retracted statement was admissible in evidence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only after a specific finding by the court </w:t>
      </w:r>
      <w:r>
        <w:rPr>
          <w:rFonts w:ascii="Times New Roman" w:hAnsi="Times New Roman" w:cs="Times New Roman"/>
          <w:color w:val="000000"/>
        </w:rPr>
        <w:lastRenderedPageBreak/>
        <w:t>that it was voluntarily made. This however did not happen. All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there is on the point is a remark in the judgment to the following effect: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“The magistrate who took the statements of confessions, Stephen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Maganga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appeared to me in Court as a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steadfast witness who withstood the cross-examination of the accused without losing slightly his stability in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grip of his testimony. I found that he is a credible witness.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 his evidence I find as a fact therefore that the accused were explained their rights before they gave the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statements. . . . I find therefore that the confessions were voluntary and if there had been any coercive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influence by the police, such influence had been cleared at the time the accused gave the statements in the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cool atmosphere of the magistrate’s chambers.”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respect, this part of the judgment contains a number of </w:t>
      </w:r>
      <w:proofErr w:type="spellStart"/>
      <w:r>
        <w:rPr>
          <w:rFonts w:ascii="Times New Roman" w:hAnsi="Times New Roman" w:cs="Times New Roman"/>
          <w:color w:val="000000"/>
        </w:rPr>
        <w:t>misdirections</w:t>
      </w:r>
      <w:proofErr w:type="spellEnd"/>
      <w:r>
        <w:rPr>
          <w:rFonts w:ascii="Times New Roman" w:hAnsi="Times New Roman" w:cs="Times New Roman"/>
          <w:color w:val="000000"/>
        </w:rPr>
        <w:t xml:space="preserve"> bearing directly on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admissibility of this statement. In the first place, the fact that the magistrate who recorded the statement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appeared in court to be “a steadfast witness who withstood the cross-examination of the accused without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losing slightly his stability in the grip of his testimony”, was irrelevant, as was the point whether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accused were explained their rights, to the central issue whether these statements were voluntary, because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conduct of the magistrate was not in issue. It was the conduct of the police which was in issue,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it is they who should have been tested to see whether, in the magistrate’s own words, “they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also have appeared to the court as steadfast witnesses who withstood the cross-examination of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accused without losing slightly their stability in the grip of their testimony”.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second place I think there is a serious flaw in the argument that even if there had been prior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coercion such had been removed at the time of making the statements “in the cool atmosphere of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magistrate’s chamber”. This reasoning is false first because it is not supported by any evidence apart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“coolness of the magistrate’s chambers”, and secondly it actually begs the question. If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and his friends had been coerced into going to the magistrate to make the statements, then to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my mind if “the cool atmosphere of the magistrate’s chambers” had indeed removed this fear, they would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refused to make the statements before the magistrate telling him that they were not free agents.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was saying that he was still under fear when he made the statement. It was up to the prosecution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disprove this.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magistrate should have followed the useful guidelines put forth by Rudd, Ag. J. in an appeal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decided by the High Court of Kenya, </w:t>
      </w:r>
      <w:r>
        <w:rPr>
          <w:rFonts w:ascii="Times New Roman" w:hAnsi="Times New Roman" w:cs="Times New Roman"/>
          <w:i/>
          <w:iCs/>
          <w:color w:val="000000"/>
        </w:rPr>
        <w:t xml:space="preserve">Onyango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Otolito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R</w:t>
      </w:r>
      <w:r>
        <w:rPr>
          <w:rFonts w:ascii="Times New Roman" w:hAnsi="Times New Roman" w:cs="Times New Roman"/>
          <w:color w:val="000000"/>
        </w:rPr>
        <w:t>., [1959] E.A. 986, where the Acting Chief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Justice was dealing with the admissibility of retracted confessions. The Acting Chief Justice stated at p.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988 (with suitable variations):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“. . . Nor does he [i.e. the trial magistrate] appear to have considered whether the alleged confessions [to the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magistrate] were voluntary. As it had been suggested to the magistrate, who gave evidence, that the witnesses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had been threatened and beaten with a view to extracting a confession, the Court was clearly put on its inquiry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 to whether or not the alleged confessions were voluntary. Consequently before calling any such confession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be tendered in evidence, the Court should have asked the appellant whether he admitted that the statement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he is alleged to have made to the magistrate was made voluntarily and if the appellant had denied that it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made voluntarily should have proceeded to hold a trial within a trial for the purpose of determining its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voluntary nature or otherwise. . . .”</w:t>
      </w:r>
      <w:r w:rsidR="00B13D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is the proper procedure which should have been followed before these statements or any of them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were admitted in evidence and used against the appellant Vincent </w:t>
      </w:r>
      <w:proofErr w:type="spellStart"/>
      <w:r>
        <w:rPr>
          <w:rFonts w:ascii="Times New Roman" w:hAnsi="Times New Roman" w:cs="Times New Roman"/>
          <w:color w:val="000000"/>
        </w:rPr>
        <w:t>Kitumbo</w:t>
      </w:r>
      <w:proofErr w:type="spellEnd"/>
      <w:r>
        <w:rPr>
          <w:rFonts w:ascii="Times New Roman" w:hAnsi="Times New Roman" w:cs="Times New Roman"/>
          <w:color w:val="000000"/>
        </w:rPr>
        <w:t>. Failure to determine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voluntary nature of the appellant’s statement as indicated was a defect which certainly vitiated his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conviction, nevertheless considering the evidence available, this would have been a proper case to order a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retrial, but since the appellant to date has been in prison for more than a year, such an order would create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unnecessary hardship. I will therefore reluctantly refrain from so ordering.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result the appeal of the fourth accused Vincent </w:t>
      </w:r>
      <w:proofErr w:type="spellStart"/>
      <w:r>
        <w:rPr>
          <w:rFonts w:ascii="Times New Roman" w:hAnsi="Times New Roman" w:cs="Times New Roman"/>
          <w:color w:val="000000"/>
        </w:rPr>
        <w:t>Kitumbo</w:t>
      </w:r>
      <w:proofErr w:type="spellEnd"/>
      <w:r>
        <w:rPr>
          <w:rFonts w:ascii="Times New Roman" w:hAnsi="Times New Roman" w:cs="Times New Roman"/>
          <w:color w:val="000000"/>
        </w:rPr>
        <w:t xml:space="preserve"> is allowed, his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conviction quashed, the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sentence against him set aside with the order for his immediate release unless otherwise lawfully held.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Order accordingly.</w:t>
      </w:r>
      <w:r w:rsidR="00B13D0C">
        <w:rPr>
          <w:rFonts w:ascii="Times New Roman" w:hAnsi="Times New Roman" w:cs="Times New Roman"/>
          <w:i/>
          <w:iCs/>
          <w:color w:val="000000"/>
        </w:rPr>
        <w:t xml:space="preserve"> </w:t>
      </w:r>
    </w:p>
    <w:p w:rsidR="00B13D0C" w:rsidRDefault="000C232C" w:rsidP="000C232C">
      <w:pPr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>For the first appellant: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KK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Hindocha</w:t>
      </w:r>
      <w:proofErr w:type="spellEnd"/>
      <w:r w:rsidR="00B13D0C">
        <w:rPr>
          <w:rFonts w:ascii="Times New Roman" w:hAnsi="Times New Roman" w:cs="Times New Roman"/>
          <w:i/>
          <w:iCs/>
          <w:color w:val="000000"/>
        </w:rPr>
        <w:t xml:space="preserve"> </w:t>
      </w:r>
    </w:p>
    <w:p w:rsidR="003278A0" w:rsidRDefault="000C232C" w:rsidP="000C232C">
      <w:r>
        <w:rPr>
          <w:rFonts w:ascii="Times New Roman" w:hAnsi="Times New Roman" w:cs="Times New Roman"/>
          <w:color w:val="000000"/>
        </w:rPr>
        <w:t>For the respondent:</w:t>
      </w:r>
      <w:r w:rsidR="00B13D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Ntabaye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(State Attorney)</w:t>
      </w:r>
      <w:r w:rsidR="00B13D0C">
        <w:t xml:space="preserve"> 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32C"/>
    <w:rsid w:val="000C232C"/>
    <w:rsid w:val="003278A0"/>
    <w:rsid w:val="00B1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37CF4-1700-495B-A1AA-745E4B8A9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BEB479F-9DD3-44D4-93E0-C80476B42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7656</Words>
  <Characters>43644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2018-07-06T11:38:00Z</dcterms:created>
  <dcterms:modified xsi:type="dcterms:W3CDTF">2018-07-11T13:40:00Z</dcterms:modified>
</cp:coreProperties>
</file>