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C9E" w:rsidRDefault="00081C9E" w:rsidP="00081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Systems Africa Ltd v Kalamazoo Ltd and another</w:t>
      </w:r>
    </w:p>
    <w:p w:rsidR="00081C9E" w:rsidRDefault="00081C9E" w:rsidP="00081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081C9E" w:rsidRDefault="00081C9E" w:rsidP="00081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20 December 1973</w:t>
      </w:r>
    </w:p>
    <w:p w:rsidR="00081C9E" w:rsidRDefault="00081C9E" w:rsidP="00081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34/1971 (3/74)</w:t>
      </w:r>
    </w:p>
    <w:p w:rsidR="00081C9E" w:rsidRDefault="00081C9E" w:rsidP="00081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Spry V-P and Law JA</w:t>
      </w:r>
    </w:p>
    <w:p w:rsidR="00081C9E" w:rsidRDefault="00081C9E" w:rsidP="00081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81C9E" w:rsidRDefault="00081C9E" w:rsidP="00081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Kenya – </w:t>
      </w:r>
      <w:proofErr w:type="spellStart"/>
      <w:r>
        <w:rPr>
          <w:rFonts w:ascii="Times New Roman" w:hAnsi="Times New Roman" w:cs="Times New Roman"/>
          <w:color w:val="000000"/>
        </w:rPr>
        <w:t>Chanan</w:t>
      </w:r>
      <w:proofErr w:type="spellEnd"/>
      <w:r>
        <w:rPr>
          <w:rFonts w:ascii="Times New Roman" w:hAnsi="Times New Roman" w:cs="Times New Roman"/>
          <w:color w:val="000000"/>
        </w:rPr>
        <w:t xml:space="preserve"> Singh, J</w:t>
      </w:r>
    </w:p>
    <w:p w:rsidR="00081C9E" w:rsidRDefault="00081C9E" w:rsidP="00081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Copyright – Artistic work – Accounting forms – Artistic work may be constituted by such forms –</w:t>
      </w:r>
    </w:p>
    <w:p w:rsidR="00081C9E" w:rsidRDefault="00081C9E" w:rsidP="00081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Copyright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130),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2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081C9E" w:rsidRDefault="00081C9E" w:rsidP="00081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Copyright – Artistic work – Original character – Whether sufficient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labour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skill expended to</w:t>
      </w:r>
    </w:p>
    <w:p w:rsidR="00081C9E" w:rsidRDefault="00081C9E" w:rsidP="00081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give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original character – Copyright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130),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3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081C9E" w:rsidRDefault="00081C9E" w:rsidP="00081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Copyright – Commission – Time at which artistic work commissioned – Copyright vesting in person</w:t>
      </w:r>
    </w:p>
    <w:p w:rsidR="00081C9E" w:rsidRDefault="00081C9E" w:rsidP="00081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giving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commission – Copyright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130),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11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081C9E" w:rsidRDefault="00081C9E" w:rsidP="00081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>
        <w:rPr>
          <w:rFonts w:ascii="Times New Roman" w:hAnsi="Times New Roman" w:cs="Times New Roman"/>
          <w:b/>
          <w:bCs/>
          <w:color w:val="000000"/>
        </w:rPr>
        <w:t xml:space="preserve">Editorial Note: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Con Planck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Kolynos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(4) the trial judge stated at p. 813 that he found “that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defendants being the persons by whom the </w:t>
      </w:r>
      <w:r>
        <w:rPr>
          <w:rFonts w:ascii="Times New Roman" w:hAnsi="Times New Roman" w:cs="Times New Roman"/>
          <w:i/>
          <w:iCs/>
          <w:color w:val="000000"/>
        </w:rPr>
        <w:t xml:space="preserve">original </w:t>
      </w:r>
      <w:r>
        <w:rPr>
          <w:rFonts w:ascii="Times New Roman" w:hAnsi="Times New Roman" w:cs="Times New Roman"/>
          <w:color w:val="000000"/>
        </w:rPr>
        <w:t>was ordered are the first owners of the copyright, if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copyright there be.”]</w:t>
      </w:r>
    </w:p>
    <w:p w:rsidR="00F804BD" w:rsidRDefault="00F804BD" w:rsidP="00081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081C9E" w:rsidRDefault="00F804BD" w:rsidP="00F804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F804BD" w:rsidRDefault="00081C9E" w:rsidP="00081C9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  <w:r>
        <w:rPr>
          <w:rFonts w:ascii="Times New Roman" w:hAnsi="Times New Roman" w:cs="Times New Roman"/>
          <w:b/>
          <w:bCs/>
          <w:color w:val="000000"/>
        </w:rPr>
        <w:t xml:space="preserve">Law JA: </w:t>
      </w:r>
      <w:r>
        <w:rPr>
          <w:rFonts w:ascii="Times New Roman" w:hAnsi="Times New Roman" w:cs="Times New Roman"/>
          <w:color w:val="000000"/>
        </w:rPr>
        <w:t>The respondents in this appeal are Kalamazoo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Ltd., a company carrying on business in England which designs and produces accounting systems and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forms and cards for use therewith, and Taws Ltd., a Kenya company which is the sole distributor in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Kenya of Kalamazoo’s products and has a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 xml:space="preserve"> to manufacture print and publish in Kenya forms and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cards under the trade mark “Kalamazoo”. The appellant is a company carrying on business in Kenya </w:t>
      </w:r>
      <w:r>
        <w:rPr>
          <w:rFonts w:ascii="Times New Roman" w:hAnsi="Times New Roman" w:cs="Times New Roman"/>
          <w:i/>
          <w:iCs/>
          <w:color w:val="000000"/>
        </w:rPr>
        <w:t>inter</w:t>
      </w:r>
      <w:r w:rsidR="00F804B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alia </w:t>
      </w:r>
      <w:r>
        <w:rPr>
          <w:rFonts w:ascii="Times New Roman" w:hAnsi="Times New Roman" w:cs="Times New Roman"/>
          <w:color w:val="000000"/>
        </w:rPr>
        <w:t>as printers. By their plaint in a suit instituted in the High Court of Kenya the respondents,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plaintiffs in the suit, claimed to have copyright in the forms and cards printed and published by them in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under the trade mark “Kalamazoo”. They alleged that the appellant, the defendant in the suit, had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deliberately copied and sold large quantities of the respondent’s forms and cards, thereby infringing their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copyright therein, and claimed to restrain these activities by injunction, and also claimed damages.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appellant, by its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denied that any copyright subsisted in the forms and cards sold under the trade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mark “Kalamazoo”, or that any copyright therein vested in the respondents, or that if any copyright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existed the respondents were the owners thereof. The appellant further denied that the said forms and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cards involved on the part of the respondents the exercise of any independent knowledge,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or effort such as to give an original character thereto, and they denied copying these forms and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cards. The appellant further denied having committed any infringement of copyright or having caused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loss or damage to the respondents.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the trial of the suit, before </w:t>
      </w:r>
      <w:proofErr w:type="spellStart"/>
      <w:r>
        <w:rPr>
          <w:rFonts w:ascii="Times New Roman" w:hAnsi="Times New Roman" w:cs="Times New Roman"/>
          <w:color w:val="000000"/>
        </w:rPr>
        <w:t>Chanan</w:t>
      </w:r>
      <w:proofErr w:type="spellEnd"/>
      <w:r>
        <w:rPr>
          <w:rFonts w:ascii="Times New Roman" w:hAnsi="Times New Roman" w:cs="Times New Roman"/>
          <w:color w:val="000000"/>
        </w:rPr>
        <w:t xml:space="preserve"> Singh, J., the following issues were agreed–</w:t>
      </w:r>
    </w:p>
    <w:p w:rsidR="00F804BD" w:rsidRDefault="00F804BD" w:rsidP="00F804B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081C9E">
        <w:rPr>
          <w:rFonts w:ascii="Times New Roman" w:hAnsi="Times New Roman" w:cs="Times New Roman"/>
          <w:color w:val="000000"/>
          <w:sz w:val="20"/>
          <w:szCs w:val="20"/>
        </w:rPr>
        <w:t xml:space="preserve">(1) </w:t>
      </w:r>
      <w:r>
        <w:rPr>
          <w:rFonts w:ascii="Times New Roman" w:hAnsi="Times New Roman" w:cs="Times New Roman"/>
          <w:color w:val="000000"/>
          <w:sz w:val="20"/>
          <w:szCs w:val="20"/>
        </w:rPr>
        <w:t>Were</w:t>
      </w:r>
      <w:r w:rsidR="00081C9E">
        <w:rPr>
          <w:rFonts w:ascii="Times New Roman" w:hAnsi="Times New Roman" w:cs="Times New Roman"/>
          <w:color w:val="000000"/>
          <w:sz w:val="20"/>
          <w:szCs w:val="20"/>
        </w:rPr>
        <w:t xml:space="preserve"> Taws Ltd. the exclusive licensees of Kalamazoo Ltd.? This issue was answered affirmatively by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81C9E">
        <w:rPr>
          <w:rFonts w:ascii="Times New Roman" w:hAnsi="Times New Roman" w:cs="Times New Roman"/>
          <w:color w:val="000000"/>
          <w:sz w:val="20"/>
          <w:szCs w:val="20"/>
        </w:rPr>
        <w:t>the judge, and is not the subject of any ground of appeal;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804BD" w:rsidRDefault="00081C9E" w:rsidP="00F804B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(2) 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>Whether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production of the respondent’s forms and cards involved knowledge,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labour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skill, etc.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giving them an original character;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804BD" w:rsidRDefault="00081C9E" w:rsidP="00F804B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(3) 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>Whether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copyright subsists in those forms and cards;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804BD" w:rsidRDefault="00081C9E" w:rsidP="00F804BD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4) 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>Whether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appellant has copied those forms and cards;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(5) to what relief are the respondents entitled.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judge answered issues 2, 3 and 4 in the affirmative, and issue 5 by ordering the issue of an injunction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restrain the appellant from reproducing or selling any of the twelve specified forms and cards, and by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ordering the appellant to deliver up all plates used or intended to be used for the making of copies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thereof, and all stocks of such copies.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decisions on issues 2 to 5 inclusive are all subject of grounds of appeal in the appeal to this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dealing with the appeal, it is necessary to set out the facts.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respondent Kalamazoo Ltd. markets an accounting system based on a solidly made loose-leaf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binder, </w:t>
      </w:r>
      <w:r>
        <w:rPr>
          <w:rFonts w:ascii="Times New Roman" w:hAnsi="Times New Roman" w:cs="Times New Roman"/>
          <w:color w:val="000000"/>
        </w:rPr>
        <w:lastRenderedPageBreak/>
        <w:t>which is so designed as to enable the three basic accounting records of journal, ledger and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 to be posted in a single writing operation. The system is not unique, several other similar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systems being available. It can be supplied as a general system for use with forms and cards of standard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design. In some cases the standard equipment has to be modified to suit the requirements of individual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customers. In such an event, special forms and cards are designed by Kalamazoo’s salesmen and staff.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various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papers have to be so designed that a writing in one column on the top form will be reproduced in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column in other forms, and the forms have to be provided with punch holes in precisely calculated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positions to ensure that this happens. All systems, according to the evidence, require the expenditure of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thought, effort and experience in order to evolve an efficient and economical method of putting into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operation the accounting requirements of an individual customer. To design and produce the necessary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special forms involves original work and research, which may extend over several months. Some of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forms and cards, the subject of this appeal, were designed to meet the special requirements of such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customers such as the Post Office, the Railways, and the Kenya Co-operative Creameries. It is in all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forms and cards, whether standard or specially produced for customers such as these that the learned trial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has found copyright to subsist. It is these forms and cards which, as the evidence abundantly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establishes, have been exactly reproduced by the appellant, the size, format, headings and lines being in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each case identical, the only difference being the omission of the words “Kalamazoo Taws Ltd.”, and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printing reference number, which appear on the forms and cards printed by the respondents. When a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system involving the use of specially designed forms and cards is evolved, the prospective customer is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 no obligation to buy it, in which case no charge is made for the work and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involved. If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customer accepts the system, he is charged for the plates made for printing the special forms and cards,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for the supply of these forms and cards, in accordance with the respondents’ official price list. When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forms and cards are exhausted, the respondents supply, and charge for, reprints. This is how they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expect to make their profits, and to recoup the expenditure incurred by them in designing the forms. If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forms and cards are pirated by outsiders, who can no doubt afford to quote lower charges for reprinting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because they have no initial expenditure to recover, then of course the respondents are at a financial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disadvantage, as it is from reprinting that they hope to derive the bulk of their profits. Whether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can protect themselves from such pirating depends on whether they can bring themselves,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their specially designed forms and cards, within the scope of the Copyright Act (Cap. 130),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hereinafter referred to as the Act.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 is stated by its long title to have the object of making provision for copyright in literary,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musical and artistic works. The judge found, and it has not been challenged, that if the forms and cards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subject of this appeal can be said to come within any of these categories, it is in that of artistic work,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and, in the course of considering issue No. 2, he held that he was satisfied that sufficient effort was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expended on these papers to give them an original character and that they are artistic works within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meaning of the Act. In s. 2(1) of the Act, the expression artistic work is defined as follows–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 ‘artistic work’ means, irrespective of artistic quality, any of the following, or works similar thereto–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paintings, drawings, etchings, lithographs, woodcuts, engravings and prints;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maps, plans and diagrams;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works of sculpture;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photographs not comprised in a cinematograph film;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works of architecture in the form of buildings and models; and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>) works of artistic craftsmanship, and also, subject to section 3 (3) of this Act, pictorial woven tissues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articles of applied handicraft and industrial art.”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By s. 3 of the Act, artistic work is eligible for copyright, if sufficient work has been expended on it to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 it an original character, and if it has been reduced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material form. The trial judge found that the forms and cards, the subject of this appeal, were works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which, although not specifically referred to in the definition, were similar to diagrams, which are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specified in paragraph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definition; he held that they were not general stationery but works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reduced to material form on which sufficient effort had been expended to give them an original character,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he held that copyright subsisted in those forms and cards, and that the copyright vested in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Nazareth for the appellant began his arguments by submitting that no copyright exists in </w:t>
      </w:r>
      <w:r>
        <w:rPr>
          <w:rFonts w:ascii="Times New Roman" w:hAnsi="Times New Roman" w:cs="Times New Roman"/>
          <w:color w:val="000000"/>
        </w:rPr>
        <w:lastRenderedPageBreak/>
        <w:t>ideas,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schemes, systems or methods, which must be reduced to some tangible material form to be capable of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protection by copyright. This proposition is undoubtedly correct and supported by abundant authority to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there is no need to refer, and Mr. Le Pelley agrees with it. Mr. Nazareth submitted that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were claiming copyright for a system of accounting, of which the forms are an integral part.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cited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Libraco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Shaw Walker </w:t>
      </w:r>
      <w:r>
        <w:rPr>
          <w:rFonts w:ascii="Times New Roman" w:hAnsi="Times New Roman" w:cs="Times New Roman"/>
          <w:color w:val="000000"/>
        </w:rPr>
        <w:t>(1913), 30 T.L.R. 22, in which it was held that cards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designed for a card index system were not eligible for copyright. He submitted that the words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“irrespective of artistic quality” in the definition of “artistic work” do not govern the words “or works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similar thereto”, and that as the forms and cards, the subject of this appeal, were held to fall within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words “or works similar thereto” some aesthetic quality must attach to them before they became eligible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copyright. Some effect, he submitted, must be attached to the word “artistic”, otherwise one would be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embarking on an uncharted sea, fraught with danger for printers of commercial forms, who would be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restricted in their right to complete openly for work, and he urged the Court to be very careful not to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extend the field of copyright unduly. Mr. Nazareth referred to a dictum by Russell, L.J.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Hensher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</w:t>
      </w:r>
      <w:r w:rsidR="00F804BD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Restawile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Upholstery</w:t>
      </w:r>
      <w:r>
        <w:rPr>
          <w:rFonts w:ascii="Times New Roman" w:hAnsi="Times New Roman" w:cs="Times New Roman"/>
          <w:color w:val="000000"/>
        </w:rPr>
        <w:t>, [1973] 3 W.L.R. 453, that in order to qualify as a work of artistic craftsmanship, in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 of furniture, its utilitarian or functional appeal should not be the primary inducement to its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acquisition, and he submitted that the forms and cards in this case are acquired solely for utilitarian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purposes and are entirely devoid of the slightest element of artistic quality. Finally, Mr. Nazareth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these forms and cards had been commissioned, and that the copyright therein, if any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existed, had transferred to the purchaser, under s. 11 of the Act.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this last point, I agree with Mr. Le Pelley, and the judge, that no question of commissioning arises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case. In my view, when a work is commissioned, a contract comes into existence, and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customer is bound to accept and pay for the end product, provided of course there has been no total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failure of consideration or other factor justifying rescission of a contract. In this case, no obligation is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incurred by the customer when the forms and cards are designed and produced; he is entitled to reject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and refuse to pay for them if he so wishes. It is only if he accepts them, after they have been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produced, that a contract arises and he is under an obligation to pay. I am satisfied that no transfer of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copyright in these forms and cards took place in this case, if copyright existed.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main question in this appeal is whether these forms and cards are eligible for copyright, as being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works similar to diagrams. I am satisfied that they are, as was the judge. Each one was designed to meet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special accounting requirements and sufficient work was expended on each to give it an original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character. These forms and cards are not items of general commercial stationery, as they can only be used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customers in conjunction with the basic system. As to the interpretation of the definition of artistic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works, I am satisfied, as was the learned judge, that the words “irrespective of artistic quality” apply not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to the works specified in the definition, but to works found to be similar thereto. A diagram can be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eligible for copyright, and is normally devoid of any artistic or aesthetic quality. The same applies to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forms and cards the subject of this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appeal, which I consider were correctly held to be similar to diagrams. They are eligible for copyright,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irrespective of artistic quality.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Hensher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can be readily distinguished, as it concerned a work of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craftsmanship, and to be eligible for copyright, such a work must be of “artistic craftsmanship”, see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(</w:t>
      </w:r>
      <w:r>
        <w:rPr>
          <w:rFonts w:ascii="Times New Roman" w:hAnsi="Times New Roman" w:cs="Times New Roman"/>
          <w:i/>
          <w:i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) of the definition of “artistic work”. Some artistic or aesthetic element must therefore exist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 work of craftsmanship, but no such requirement exists in respect of a diagram or work similar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thereto.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Van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Oppen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Co. v. Leonard Van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Oppen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(1903), 20 R.P.C. 617 a specially designed form of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consignment note was held to be eligible for copyright, and in </w:t>
      </w:r>
      <w:r>
        <w:rPr>
          <w:rFonts w:ascii="Times New Roman" w:hAnsi="Times New Roman" w:cs="Times New Roman"/>
          <w:i/>
          <w:iCs/>
          <w:color w:val="000000"/>
        </w:rPr>
        <w:t xml:space="preserve">Walker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Charles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>v. British Picker Co</w:t>
      </w:r>
      <w:r>
        <w:rPr>
          <w:rFonts w:ascii="Times New Roman" w:hAnsi="Times New Roman" w:cs="Times New Roman"/>
          <w:color w:val="000000"/>
        </w:rPr>
        <w:t>.,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[1961] R.P.C. 57 a parcel label was likewise held eligible. Both these forms were forms in common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commercial use which had acquired an original character as a result of work expended on them.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applies in my view to the forms and cards the subject of this appeal. They resulted from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 of thought, work and ingenuity which has given them an original character in that they are of no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use except to the customers who make use of the basic system. When these forms and cards were copied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the appellant, this was done for those self-same customers, as is apparent </w:t>
      </w:r>
      <w:r>
        <w:rPr>
          <w:rFonts w:ascii="Times New Roman" w:hAnsi="Times New Roman" w:cs="Times New Roman"/>
          <w:color w:val="000000"/>
        </w:rPr>
        <w:lastRenderedPageBreak/>
        <w:t>from the fact that the names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those customers appear at the head of the pirated forms. They were not copied by the appellant for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resale as ordinary commercial forms in general use.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these reasons I agree with the judge that the forms and cards, the subject of this appeal, are artistic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works within the meaning of the Act, that they have acquired an original character as a result of sufficient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work being expended on them, and have been reduced to material form. I would dismiss this appeal.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Duffus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P: </w:t>
      </w:r>
      <w:r>
        <w:rPr>
          <w:rFonts w:ascii="Times New Roman" w:hAnsi="Times New Roman" w:cs="Times New Roman"/>
          <w:color w:val="000000"/>
        </w:rPr>
        <w:t>The facts have been fully set out in the judgment of Law, J.A. The respondents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 a breach of copyright of different accounting forms or cards. The trial judge found that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had copyright in several of the various forms tendered in evidence and ordered an injunction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issue to restrain the appellants from reproducing, selling or distributing any of these forms.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Various accounting forms were considered during the trial and these forms may be considered under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three heads: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general stationery, or general printing, in respect of which clearly no copyright exists,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“the system forms”: these are the forms devised by the respondent and used in their general system of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accounting as sold to the public. The “system” consists of a loose-leaf binder containing the journal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sheets, and a “Posting Tray” in which the ledger cards and statements are kept. The main advantage of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system is that by using a flat piece of board with studs called the Collator, three sheets of paper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consisting of the customer’ statement, the ledger account and the journal are all written in one operation.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sheets have punch holes which fitted into the studs of the Collator.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The third type of forms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the “special” forms prepared for individual customers to suit their particular needs.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Copyright Act (Cap. 130) affords protection to original works coming within the requirements of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3 of the Act. The relevant portion of which states:</w:t>
      </w:r>
      <w:r w:rsidR="00F804BD">
        <w:rPr>
          <w:rFonts w:ascii="Times New Roman" w:hAnsi="Times New Roman" w:cs="Times New Roman"/>
          <w:color w:val="000000"/>
        </w:rPr>
        <w:t xml:space="preserve"> </w:t>
      </w:r>
    </w:p>
    <w:p w:rsidR="00F804BD" w:rsidRDefault="00081C9E" w:rsidP="00F804B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“3. (1) Subject to this section, the following works shall be eligible for copyright–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literary works;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musical works;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artistic works;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. . . . . .</w:t>
      </w:r>
    </w:p>
    <w:p w:rsidR="00F804BD" w:rsidRDefault="00081C9E" w:rsidP="00F804BD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2) A literary, musical or artistic work shall not be eligible for copyright unless–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sufficient effort has been expended on making the work to give it an original character;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the work has been written down, recorded or otherwise reduced to material form.”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 claimed and the judge found that the accounting forms in this case came within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definition under the sub-head “artistic works”. The issues on this aspect of the appeal were whether these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forms were first “artistic works” and then whether they complied with the requirements of sub-s. (2)(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s. 3, i.e. whether sufficient effort had been expended on making the work to give it an original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character?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Artistic work is defined in the interpretation section as,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–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“means, irrespective of artistic quality, any of the following, or works similar thereto–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paintings, drawings, etchings, lithographs, woodcuts, engravings and prints;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maps, plans and diagrams;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. . . . . .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>) works of artistic craftsmanship, and also, subject to section 3 (3) of this Act, pictorial woven tissues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articles of applied handicraft and industrial art;”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trial judge in finding that the respondents had copyright to the various forms held: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Nowrojee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draws my attention to the use of the word ‘means’ instead of the more common ‘includes’ in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definition. I agree with him that this implies that only the items actually listed are within the definition and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nothing else can be. But I think he has omitted to look at all the opening words of the definition. These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are: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‘ “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artistic work” means, irrespective of artistic quality, any of the following’.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If the expression had stopped here,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Nowrojee’s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argument would have been perfectly sound. But the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opening words and with the following words: ‘or works similar thereto’.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This, I think, clearly means that ‘artistic work’ includes not only ‘drawings’, and ‘diagrams’ but also ‘works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similar thereto’. The last words have more or less the same effect as the use of the word ‘includes’ would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had. I have, therefore, no doubt that the accounting forms in question are ‘artistic work’.”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judge held here that the accounting forms came within the definition of an “artistic work” as they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works similar to a plan or diagram as described in the definition of “artistic work”.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words “similar thereto” the legislature must have meant that the work in question although not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strictly a plan or a diagram were works having a marked resemblance or likeness to a plan or diagram and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works of a like nature. A diagram is perhaps a more appropriate word here but can it really be said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there is any similarity between these accounting forms and a diagram?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first examine what I have called the “system” forms. These are the accounting forms used by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 in its general accounting system and consists of the various forms in exhibits 3, 4 and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of the forms in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annexure “A” of exhibit 7. </w:t>
      </w:r>
      <w:r>
        <w:rPr>
          <w:rFonts w:ascii="Times New Roman" w:hAnsi="Times New Roman" w:cs="Times New Roman"/>
          <w:color w:val="000000"/>
        </w:rPr>
        <w:lastRenderedPageBreak/>
        <w:t>It is necessary before finding copyright in any document to carefully examine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each of the documents in which copyright is claimed. Exhibit 3 consists of two large sheets of paper. One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 general sheet which fits in to the large binder in evidence as exhibit 2 and also a large sheet of a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loose-leaf ledger. Exhibit 4 is what the respondents claim is its new “Kalamazoo Compact Accounting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System” and this consist of the binder for the journal containing various journal accounts, several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examples of the loose-leaf ledger cards and an example of the statement. All three forms fit through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punch holes on to the Collator with its studs. One of these Collators is included in exhibit 4. All the three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sheets fit together so that one entry made on the statement is reproduced in its proper line on the ledger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sheet and on the journal sheet. The “system” forms in exhibit 7(A) are of the same type as those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appearing in exhibit 3 and 4. The issue at first is whether these account forms or cards of the general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system of accounting can be included in the definition “artistic works”. These forms are account sheets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consisting of headings of the columns at the top of the sheets and then there are the columns for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 entries to be made. There are straight lines dividing the headings into columns and the series of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punch holes on one side for these sheets to fit into the Collator and also into the binder for the journal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sheets. The headings are ordinary account headings such as are used in any account and are in effect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date, the details, the value of the transaction and the balance with a column for a reference number.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journal itself has a blank sheet on the right hand side with several columns which can be used to break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down entries in the journal into further details if desired. There is nothing original in any of the headings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columns. They appear to be headings common to any simple book-keeping account and hardly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carry the originality needed by the copyright Act. The lines are only simple lines marking out each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column more effectively. The binder system and the use of Collator and the punch holes are most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ingenious but these could hardly, in my view, be the subject of copyright although they might claim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protection under the law relating to patents. The idea of writing three forms in one operation is fairly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common and Mr. </w:t>
      </w:r>
      <w:proofErr w:type="spellStart"/>
      <w:r>
        <w:rPr>
          <w:rFonts w:ascii="Times New Roman" w:hAnsi="Times New Roman" w:cs="Times New Roman"/>
          <w:color w:val="000000"/>
        </w:rPr>
        <w:t>Hatt</w:t>
      </w:r>
      <w:proofErr w:type="spellEnd"/>
      <w:r>
        <w:rPr>
          <w:rFonts w:ascii="Times New Roman" w:hAnsi="Times New Roman" w:cs="Times New Roman"/>
          <w:color w:val="000000"/>
        </w:rPr>
        <w:t xml:space="preserve"> the sales director of Taws Limited, one of the respondent companies agrees to this.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of the view that these forms and accounts forming part of the accounting system do not come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within the meaning of “artistic works” and cannot be protected by the Copyright Act. I am further of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 that these forms and cards in exhibits 3, 4 and part of 7(A) cannot be said to be of an original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character so as to come within the meaning of s. 3 (2)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). I have no doubt that much work and expert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knowledge must have gone into preparation and design of the binders and the Collator and the “system”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I can find no originality in the actual accounting sheets or cards for which protection is sought. They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 to me to be ordinary and general accounting forms but made to a specific size and punched in a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 manner. The actual headings columns could be easily changed or varied to suit any particular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system and are not such as would be protected by the Copyright Act. The purchaser of the system which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includes the binder, the Collator and the ledger posting tray must be able to have subsequent sheets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prepared either by himself or by another printer, otherwise if the respondents were unable or refused to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supply any further account sheets or cards or charged some quite exorbitant rate, the whole system could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become useless to the purchaser. These forms or cards are merely forms to be filled in and used by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purchaser to keep his accounts. There are no unusual arrangements in the forms in themselves. In my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 these simple statements, ledger or journal sheets could not possibly be described as “literary” or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“artistic works” within the meaning of the Copyright Act.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Numerous decisions were cited to the court but none really deal with the issue as to whether a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copyright can exist in an accounting form. The old English case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</w:rPr>
        <w:t xml:space="preserve">Hollinrake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Truswell</w:t>
      </w:r>
      <w:proofErr w:type="spellEnd"/>
      <w:r>
        <w:rPr>
          <w:rFonts w:ascii="Times New Roman" w:hAnsi="Times New Roman" w:cs="Times New Roman"/>
          <w:color w:val="000000"/>
        </w:rPr>
        <w:t xml:space="preserve">, [1894] 3 Ch. 420 refers with approval to an American case of </w:t>
      </w:r>
      <w:r>
        <w:rPr>
          <w:rFonts w:ascii="Times New Roman" w:hAnsi="Times New Roman" w:cs="Times New Roman"/>
          <w:i/>
          <w:iCs/>
          <w:color w:val="000000"/>
        </w:rPr>
        <w:t>Baker v. Selden</w:t>
      </w:r>
      <w:r w:rsidR="00F804B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(11 Otto, 103) and the following reference by Davey, L.J. is of some interest here. He said: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agree with what is said in an American case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Baker v. Selden</w:t>
      </w:r>
      <w:r>
        <w:rPr>
          <w:rFonts w:ascii="Times New Roman" w:hAnsi="Times New Roman" w:cs="Times New Roman"/>
          <w:color w:val="000000"/>
          <w:sz w:val="20"/>
          <w:szCs w:val="20"/>
        </w:rPr>
        <w:t>: ‘Where the art cannot be used without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employing the methods and diagrams used to illustrate the book, or such as are similar to them, such methods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diagrams are to be considered as necessary incidents to the art, and given therewith to the public; not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given for the purpose of publication in other works explanatory of the art, but for the purpose of practical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application.’ In that case it was held that a man could not have copyright in the model pages of an account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book contained in a work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explaining a peculiar system of book-keeping.”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Libraco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Shaw Walker </w:t>
      </w:r>
      <w:r>
        <w:rPr>
          <w:rFonts w:ascii="Times New Roman" w:hAnsi="Times New Roman" w:cs="Times New Roman"/>
          <w:color w:val="000000"/>
        </w:rPr>
        <w:t>(1913), 30 T.L.R. 22, Warrington, J. said in considering a case in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copyright was claimed in a card index system: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 that the question which he had to determine was whether the alleged subject matter of copyright was or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not a ‘literary work’ within the meaning of section 1 of the Copyright Act, 1911. By section 35 of that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 ‘literary work’ included maps, charts, plans, tables, and compilations. It was clear that a card, if the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matter written on it was capable of copyright, might be a ‘literary work’ – the mere fact that it was a card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would not prevent its being the subject of copyright. Was this an original literary work? In his Lordship’s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opinion it was impossible to hold that it was. It was part of an outfit, and by itself useless and conveyed no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meaning. There was no unusual arrangement of words on the card; simply the words ‘name’, ‘address’, and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 words which might be used by anybody.”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These two cases and other cases quoted to us are based on English law and show how the courts in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England dealt with the particular facts in each case. Our law is different in detail but the main basic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principles of the law of copyright are the same. There are no East African cases that would assist us in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considering the facts of this case. This case must be decided in accordance with our law and on the facts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established by the evidence.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“special” forms ordered and prepared for individual customers have to be separately considered.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judge found that the respondents had copyright in the special forms. These “special” forms appear to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vary from fairly simple bank lodgment forms to the much more complicated forms prepared for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Post Office. There can be no doubt that the preparation of some of these forms must have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entailed much work and research, they were prepared for special customers to fit their requirements.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Even, however, if copyright does exist in these forms, the question further arises whether ownership was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vested at the time of the trial in the respondents or in the customer for whom the forms were produced. I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first consider this point. S. 11 of the Copyright Act applies and this states:</w:t>
      </w:r>
      <w:r w:rsidR="00F804BD">
        <w:rPr>
          <w:rFonts w:ascii="Times New Roman" w:hAnsi="Times New Roman" w:cs="Times New Roman"/>
          <w:color w:val="000000"/>
        </w:rPr>
        <w:t xml:space="preserve"> </w:t>
      </w:r>
    </w:p>
    <w:p w:rsidR="00F804BD" w:rsidRDefault="00081C9E" w:rsidP="00F804B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“11. (1) Copyright conferred by sections 4 and 5 of this Act shall vest initially in the author: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that, notwithstanding section 12(6) of this Act, where a work–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 commissioned by a person who is not the author’s employer under a contract of service;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( ii) n</w:t>
      </w:r>
      <w:r>
        <w:rPr>
          <w:rFonts w:ascii="Times New Roman" w:hAnsi="Times New Roman" w:cs="Times New Roman"/>
          <w:color w:val="000000"/>
          <w:sz w:val="20"/>
          <w:szCs w:val="20"/>
        </w:rPr>
        <w:t>ot having been so commissioned, is made in the course of the author’s employment,</w:t>
      </w:r>
      <w:r>
        <w:rPr>
          <w:rFonts w:ascii="Times New Roman" w:hAnsi="Times New Roman" w:cs="Times New Roman"/>
          <w:color w:val="000080"/>
        </w:rPr>
        <w:t>)</w:t>
      </w:r>
      <w:r w:rsidR="00F804BD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copyright shall be deemed to be transferred to the person who commissioned the work or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author’s employer, subject to any agreement between the parties excluding or limiting such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transfer.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F804BD">
        <w:rPr>
          <w:rFonts w:ascii="Times New Roman" w:hAnsi="Times New Roman" w:cs="Times New Roman"/>
          <w:color w:val="000000"/>
          <w:sz w:val="20"/>
          <w:szCs w:val="20"/>
        </w:rPr>
        <w:t>( 2</w:t>
      </w:r>
      <w:proofErr w:type="gramEnd"/>
      <w:r w:rsidR="00F804BD">
        <w:rPr>
          <w:rFonts w:ascii="Times New Roman" w:hAnsi="Times New Roman" w:cs="Times New Roman"/>
          <w:color w:val="000000"/>
          <w:sz w:val="20"/>
          <w:szCs w:val="20"/>
        </w:rPr>
        <w:t>) C</w:t>
      </w:r>
      <w:r>
        <w:rPr>
          <w:rFonts w:ascii="Times New Roman" w:hAnsi="Times New Roman" w:cs="Times New Roman"/>
          <w:color w:val="000000"/>
          <w:sz w:val="20"/>
          <w:szCs w:val="20"/>
        </w:rPr>
        <w:t>opyright conferred by section 6 of this Act shall vest initially in the Government or such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international bodies or other government organizations as may be prescribed, and not in the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author.”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Then the relevant portion of section 6 states: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“6. (1) Copyright shall be conferred by this section on every work which is eligible for copyright and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is made by or under the direction or control of the Government and also such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international bodies or other governmental organizations as may be prescribed.”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664035" w:rsidRDefault="00081C9E" w:rsidP="00F804BD">
      <w:pPr>
        <w:spacing w:after="0"/>
      </w:pPr>
      <w:r>
        <w:rPr>
          <w:rFonts w:ascii="Times New Roman" w:hAnsi="Times New Roman" w:cs="Times New Roman"/>
          <w:color w:val="000000"/>
        </w:rPr>
        <w:t xml:space="preserve">This issue was raised by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also raised and argued at the trial and before us. The judge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considered this question and found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at p. 244: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do not know whether the forms which are the subject matter of this suit were ‘commissioned’ within the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meaning of section 11. No evidence on this exact point has been produced. The plaintiffs’ witnesses have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stated, however, that when they are approached by customers they design forms to meet their requirements,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but that in the end the customer is free to say that he does not want the forms and he is under no obligation to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pay for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labour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skill used. I cannot hold, therefore, that the forms in question were commissioned by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anyone. The person or firm 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organisation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whom forms are produced in these circumstances can of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course, not be said to be the plaintiffs’ employer within section 11.”</w:t>
      </w:r>
      <w:r w:rsidR="00F804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respect to the judge evidence was given by both Mr. </w:t>
      </w:r>
      <w:proofErr w:type="spellStart"/>
      <w:r>
        <w:rPr>
          <w:rFonts w:ascii="Times New Roman" w:hAnsi="Times New Roman" w:cs="Times New Roman"/>
          <w:color w:val="000000"/>
        </w:rPr>
        <w:t>Hatt</w:t>
      </w:r>
      <w:proofErr w:type="spellEnd"/>
      <w:r>
        <w:rPr>
          <w:rFonts w:ascii="Times New Roman" w:hAnsi="Times New Roman" w:cs="Times New Roman"/>
          <w:color w:val="000000"/>
        </w:rPr>
        <w:t xml:space="preserve"> and Mr. </w:t>
      </w:r>
      <w:proofErr w:type="spellStart"/>
      <w:r>
        <w:rPr>
          <w:rFonts w:ascii="Times New Roman" w:hAnsi="Times New Roman" w:cs="Times New Roman"/>
          <w:color w:val="000000"/>
        </w:rPr>
        <w:t>Cresswell</w:t>
      </w:r>
      <w:proofErr w:type="spellEnd"/>
      <w:r>
        <w:rPr>
          <w:rFonts w:ascii="Times New Roman" w:hAnsi="Times New Roman" w:cs="Times New Roman"/>
          <w:color w:val="000000"/>
        </w:rPr>
        <w:t xml:space="preserve"> for the respondents on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point. From their evidence the position appears to be that the special forms are in fact ordered by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customer. They are then drafted and submitted for the customer’s approval. If they are approved by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customer and the customer places an order, the forms are then produced and purchased by the customer.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charge is made for the designing of the form or for any advice on the matter. The respondents make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profit from the supply of the forms and from any equipment sold to be used with the forms. In this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it appears to have been accepted generally that the respondents did produce these various forms for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customer and that in each case an order was placed and supplied to the customer. The evidence also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shows that the respondents made an extra charge on the first order to cover the cost of the manufacture of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plate for the printing of the forms. There has been no suggestion in this case that the appellants stole or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copied the respondents’ </w:t>
      </w:r>
      <w:r>
        <w:rPr>
          <w:rFonts w:ascii="Times New Roman" w:hAnsi="Times New Roman" w:cs="Times New Roman"/>
          <w:color w:val="000000"/>
        </w:rPr>
        <w:lastRenderedPageBreak/>
        <w:t>draft forms. The respondents’ claim is that the appellants copied these forms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they had been printed. In other words that the appellants secured a repeat order for the supply of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fresh forms and thereby deprived the respondents of themselves obtaining the repeat order.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order for the special work would therefore appear to have been done in two stages. First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tendering and the acceptance of a draft of the required forms. At this stage the customer would be under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liability to pay for the planning and designing of the forms and then followed the second stage and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is the placing of a firm order for the supply of a quantity of the special forms. There would then be a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valid contract between the respondents and the customer for the supply of these according to the design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ordered by the customer. In my view at this stage the commissioning of the special work would be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complete and according to s. 11 the copyright would be deemed to be transferred to the customer subject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any agreement between the parties excluding or limiting such transfer. There is no evidence that there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any such special agreement and accordingly I am of the opinion that on the evidence in this case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copyright would be deemed to be transferred to the customer.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agree therefore with Spry, V.P. that on the evidence here the respondents would not be the owners of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copyright in these special forms and could not therefore in any event, maintain this action for a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breach of copyright in these forms. A copyright in the forms, if copyright exists, would be vested in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customer and it does not really matter whether they were a company or a Government </w:t>
      </w:r>
      <w:proofErr w:type="spellStart"/>
      <w:r>
        <w:rPr>
          <w:rFonts w:ascii="Times New Roman" w:hAnsi="Times New Roman" w:cs="Times New Roman"/>
          <w:color w:val="000000"/>
        </w:rPr>
        <w:t>organisation</w:t>
      </w:r>
      <w:proofErr w:type="spellEnd"/>
      <w:r>
        <w:rPr>
          <w:rFonts w:ascii="Times New Roman" w:hAnsi="Times New Roman" w:cs="Times New Roman"/>
          <w:color w:val="000000"/>
        </w:rPr>
        <w:t xml:space="preserve"> within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meaning of s. 6 of the Act.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therefore allow the appeal and as Spry, V.P. agrees the appeal is allowed with costs to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appellants. The judgment and decree of the High Court are set aside and in lieu thereof the suit in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will be dismissed with costs on the higher scale and as both Spry, V.P. and Law, J.A. agree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will be a certificate for two advocates on the appeal.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Spry V-P: </w:t>
      </w:r>
      <w:r>
        <w:rPr>
          <w:rFonts w:ascii="Times New Roman" w:hAnsi="Times New Roman" w:cs="Times New Roman"/>
          <w:color w:val="000000"/>
        </w:rPr>
        <w:t>This appeal involves three questions: first, whether there can be any copyright in accounting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forms; secondly, if there can, whether the forms with which we are concerned are eligible for copyright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and, thirdly, if so, in whom that copyright is vested.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question depends on the interpretation of “artistic work” in s. 2 (1) of the Copyright Act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(Cap. 130).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Mr. Nazareth submitted that the words “irrespective of artistic quality” do not govern the words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“works similar thereto”. With respect, I cannot agree. I think those words govern everything that follows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definition, except for paragraph (</w:t>
      </w:r>
      <w:r>
        <w:rPr>
          <w:rFonts w:ascii="Times New Roman" w:hAnsi="Times New Roman" w:cs="Times New Roman"/>
          <w:i/>
          <w:i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), where the artistic element is expressly re-introduced. I think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accounting forms may fall within, although perhaps only just within, the definition by virtue of paragraph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 as being in the same general category as plans and diagrams. We are not concerned, as would be a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in England, with the question whether they are registrable as designs. I think it is immaterial that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are not complete in themselves but are of value only when used.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Neither of the advocates who addressed us placed any reliance on the English case of </w:t>
      </w:r>
      <w:r>
        <w:rPr>
          <w:rFonts w:ascii="Times New Roman" w:hAnsi="Times New Roman" w:cs="Times New Roman"/>
          <w:i/>
          <w:iCs/>
          <w:color w:val="000000"/>
        </w:rPr>
        <w:t>Football League</w:t>
      </w:r>
      <w:r w:rsidR="00F804B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v. Littlewoods Pools</w:t>
      </w:r>
      <w:r>
        <w:rPr>
          <w:rFonts w:ascii="Times New Roman" w:hAnsi="Times New Roman" w:cs="Times New Roman"/>
          <w:color w:val="000000"/>
        </w:rPr>
        <w:t>, [1959] 2 All E.R. 546 but while I would agree that it is easily distinguishable, I find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reasoning behind the judgment of Upjohn, J., helpful. That case concerned a list of football fixtures.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actual preparation of the list was a mere clerical function. The information it contained could not be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subject of copyright. Yet despite these facts, the plaintiff company succeeded because of the skill,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>, time, judgment and ingenuity that had gone into the planning of the fixtures. Similarly,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accounting forms consist merely of lined sheets bearing words of ordinary day-to-day use. They may be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 of a system, but the system itself cannot be the subject of copyright. But time, skill and ingenuity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have gone into the composition of the forms. Indeed, the very art of designing forms is to achieve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end sought with the greatest simplicity. There may be originality in their lay-out. I would hold,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that the learned trial judge was right in holding that forms might be eligible for copyright.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Mr. Nazareth also argued, on grounds of public policy, that copyright ought not to be allowed in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forms that are in day-to-day use, because the first designer of a form could then achieve a monopoly of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them. I do not think there is any substance in this. A person precluded by copyright from copying any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 forms could go to a rival producer and obtain comparable forms to meet his needs. Copyright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 form does not mean, as Mr. Le Pelley readily conceded, that another form cannot be designed to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 the same purpose.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regards the second question, I think it is necessary </w:t>
      </w:r>
      <w:r>
        <w:rPr>
          <w:rFonts w:ascii="Times New Roman" w:hAnsi="Times New Roman" w:cs="Times New Roman"/>
          <w:color w:val="000000"/>
        </w:rPr>
        <w:lastRenderedPageBreak/>
        <w:t>to divide the forms with which we are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concerned into two classes. The respondents, to whom it is convenient to refer collectively, have a set of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forms which give effect to their basic system of accounting. These are available for purchase by anyone.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Some potential customers, particularly large </w:t>
      </w:r>
      <w:proofErr w:type="spellStart"/>
      <w:r>
        <w:rPr>
          <w:rFonts w:ascii="Times New Roman" w:hAnsi="Times New Roman" w:cs="Times New Roman"/>
          <w:color w:val="000000"/>
        </w:rPr>
        <w:t>organisations</w:t>
      </w:r>
      <w:proofErr w:type="spellEnd"/>
      <w:r>
        <w:rPr>
          <w:rFonts w:ascii="Times New Roman" w:hAnsi="Times New Roman" w:cs="Times New Roman"/>
          <w:color w:val="000000"/>
        </w:rPr>
        <w:t xml:space="preserve"> such as the Post Office and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the Kenya Meat Commission, require more elaborate and complex forms to meet their particular needs. I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no doubt that a great deal of work and thought went into the design of the general forms, but I am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persuaded, either from a study of the oral testimony or by inspecting the exhibits, that they have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sufficient originality to be eligible for copyright. It is otherwise with the forms produced for particular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customers. These are produced only after a study of each business concerned, its methods and its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accounting needs. The forms prepared for one business would normally be of no use for another, except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possibly where the nature of the business was very similar. I am satisfied that these forms are the result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time, skill and ingenuity and have sufficient originality to be eligible for copyright. I think there is no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copyright in Exhibits 3, 4 and some of the forms included in Exhibit 7 but that there is copyright in all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other forms.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turn now to the final question, in whom is vested such copyright as exists. The way the forms were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produced appears to have been as follows. There would be discussions between a representative of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and a potential customer. The representative would then sketch out modified forms adapted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basic system. There would be further discussions, sometimes resulting in modifications.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respondents would then produce a </w:t>
      </w:r>
      <w:proofErr w:type="spellStart"/>
      <w:r>
        <w:rPr>
          <w:rFonts w:ascii="Times New Roman" w:hAnsi="Times New Roman" w:cs="Times New Roman"/>
          <w:color w:val="000000"/>
        </w:rPr>
        <w:t>photoproof</w:t>
      </w:r>
      <w:proofErr w:type="spellEnd"/>
      <w:r>
        <w:rPr>
          <w:rFonts w:ascii="Times New Roman" w:hAnsi="Times New Roman" w:cs="Times New Roman"/>
          <w:color w:val="000000"/>
        </w:rPr>
        <w:t xml:space="preserve">, and sometimes, in difficult cases, a second </w:t>
      </w:r>
      <w:proofErr w:type="spellStart"/>
      <w:r>
        <w:rPr>
          <w:rFonts w:ascii="Times New Roman" w:hAnsi="Times New Roman" w:cs="Times New Roman"/>
          <w:color w:val="000000"/>
        </w:rPr>
        <w:t>photoproof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seems to have been the critical moment. The potential customer was free to say, without any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financial obligation, that he did not wish to adopt the system and that was the end of the matter. If,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he liked the system, he would place a firm order and the necessary forms would be printed. At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stage, a printing plate was prepared. It is not entirely clear from the record when this was done but I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think it must have been when the order for printing was placed.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problem is, when copyright arises. If the forms are to be regarded as commissioned, the original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copyright belongs, under s. 11 of the Act, to the persons for whom the forms were prepared, otherwise it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belongs to the respondents. The various draft forms were, in my opinion, certainly not commissioned,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I accept Mr. Le Pelley’s submission that the word “commissioned” connotes a contractual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relationship. I think, however, that the printed forms were commissioned at the time when the order for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printing was placed and the printing plates (for which the customer was charged) prepared. I should have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this a very difficult decision in the absence of authority but I think there is persuasive authority in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English case of </w:t>
      </w:r>
      <w:r>
        <w:rPr>
          <w:rFonts w:ascii="Times New Roman" w:hAnsi="Times New Roman" w:cs="Times New Roman"/>
          <w:i/>
          <w:iCs/>
          <w:color w:val="000000"/>
        </w:rPr>
        <w:t xml:space="preserve">Con Planck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Kolynos</w:t>
      </w:r>
      <w:proofErr w:type="spellEnd"/>
      <w:r>
        <w:rPr>
          <w:rFonts w:ascii="Times New Roman" w:hAnsi="Times New Roman" w:cs="Times New Roman"/>
          <w:color w:val="000000"/>
        </w:rPr>
        <w:t>, [1925] 2 K.B. 804. That decision is nearly fifty years old and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does not appear to have been challenged. It is unfortunate that it was not cited during the hearing of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and therefore that we did not have the benefit of hearing argument on it, but it does appear to me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have been based on substantially similar facts. There, a sketch was offered to a potential customer,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modified in accordance with its requirements and a plate prepared after an order for a number of copies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placed. It was held that the sketch as printed was an engraving and that in the absence of any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to the contrary, the original copyright was in the persons by whom the copies were ordered.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suggestion in the present case that there was any agreement between the respondents and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customers as regards the copyright.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sum up: I would hold that there was no copyright in the general forms and that the copyright in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special forms was vested in the persons for whom they were prepared. I think, therefore, that the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had no right of action and I would allow the appeal and set aside the judgment and decree of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and substitute an order dismissing the suit with costs.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Appeal allowed.</w:t>
      </w:r>
      <w:r w:rsidR="00F804B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JM Nazareth, QC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Rayani</w:t>
      </w:r>
      <w:proofErr w:type="spellEnd"/>
      <w:r w:rsidR="00F804B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respondents:</w:t>
      </w:r>
      <w:r w:rsidR="00F804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 Le Pelley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Hamilton Harrison &amp; Mathews</w:t>
      </w:r>
      <w:r>
        <w:rPr>
          <w:rFonts w:ascii="Times New Roman" w:hAnsi="Times New Roman" w:cs="Times New Roman"/>
          <w:color w:val="000000"/>
        </w:rPr>
        <w:t>, Nairobi)</w:t>
      </w:r>
      <w:r w:rsidR="00F804BD">
        <w:t xml:space="preserve"> 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9E"/>
    <w:rsid w:val="00081C9E"/>
    <w:rsid w:val="00664035"/>
    <w:rsid w:val="00F8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E42C6-58B7-4226-9B6F-CB7542E6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5720</Words>
  <Characters>32605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2018-07-05T12:48:00Z</dcterms:created>
  <dcterms:modified xsi:type="dcterms:W3CDTF">2018-07-11T13:35:00Z</dcterms:modified>
</cp:coreProperties>
</file>