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19" w:rsidRDefault="00104FCB" w:rsidP="008E7C19">
      <w:pPr>
        <w:spacing w:after="0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 Ltd v Income Tax</w:t>
      </w:r>
    </w:p>
    <w:p w:rsidR="008E7C19" w:rsidRDefault="00104FCB" w:rsidP="008E7C19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 Es Salaam</w:t>
      </w:r>
    </w:p>
    <w:p w:rsidR="008E7C19" w:rsidRDefault="00104FCB" w:rsidP="008E7C19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September 1973</w:t>
      </w:r>
    </w:p>
    <w:p w:rsidR="008E7C19" w:rsidRDefault="00104FCB" w:rsidP="008E7C19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11/1971 (47/74)</w:t>
      </w:r>
    </w:p>
    <w:p w:rsidR="008E7C19" w:rsidRDefault="00104FCB" w:rsidP="008E7C19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</w:p>
    <w:p w:rsidR="008E7C19" w:rsidRDefault="00104FCB" w:rsidP="008E7C19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8E7C19" w:rsidRDefault="008E7C19" w:rsidP="008E7C19">
      <w:pPr>
        <w:spacing w:after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</w:rPr>
        <w:t>[1] Income Tax – Capital or income payment – Expenditure on preliminary surveys for capital projects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</w:rPr>
        <w:t>– Capital payment.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</w:rPr>
        <w:t>[2] Income Tax – Deduction – Scientific research – Whether intention behind payment relevant – East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</w:rPr>
        <w:t xml:space="preserve">African Income Tax Management Act </w:t>
      </w:r>
      <w:r w:rsidR="00104FCB">
        <w:rPr>
          <w:rFonts w:ascii="Times New Roman" w:hAnsi="Times New Roman" w:cs="Times New Roman"/>
          <w:color w:val="000000"/>
        </w:rPr>
        <w:t>(</w:t>
      </w:r>
      <w:r w:rsidR="00104FCB">
        <w:rPr>
          <w:rFonts w:ascii="Times New Roman" w:hAnsi="Times New Roman" w:cs="Times New Roman"/>
          <w:i/>
          <w:iCs/>
          <w:color w:val="000000"/>
        </w:rPr>
        <w:t xml:space="preserve">Cap. </w:t>
      </w:r>
      <w:r w:rsidR="00104FCB">
        <w:rPr>
          <w:rFonts w:ascii="Times New Roman" w:hAnsi="Times New Roman" w:cs="Times New Roman"/>
          <w:color w:val="000000"/>
        </w:rPr>
        <w:t xml:space="preserve">24), </w:t>
      </w:r>
      <w:r w:rsidR="00104FCB">
        <w:rPr>
          <w:rFonts w:ascii="Times New Roman" w:hAnsi="Times New Roman" w:cs="Times New Roman"/>
          <w:i/>
          <w:iCs/>
          <w:color w:val="000000"/>
        </w:rPr>
        <w:t xml:space="preserve">s. </w:t>
      </w:r>
      <w:r w:rsidR="00104FCB">
        <w:rPr>
          <w:rFonts w:ascii="Times New Roman" w:hAnsi="Times New Roman" w:cs="Times New Roman"/>
          <w:color w:val="000000"/>
        </w:rPr>
        <w:t>13 (2) (</w:t>
      </w:r>
      <w:r w:rsidR="00104FCB">
        <w:rPr>
          <w:rFonts w:ascii="Times New Roman" w:hAnsi="Times New Roman" w:cs="Times New Roman"/>
          <w:i/>
          <w:iCs/>
          <w:color w:val="000000"/>
        </w:rPr>
        <w:t>p</w:t>
      </w:r>
      <w:r w:rsidR="00104FCB">
        <w:rPr>
          <w:rFonts w:ascii="Times New Roman" w:hAnsi="Times New Roman" w:cs="Times New Roman"/>
          <w:color w:val="000000"/>
        </w:rPr>
        <w:t>)</w:t>
      </w:r>
      <w:r w:rsidR="00104FCB">
        <w:rPr>
          <w:rFonts w:ascii="Times New Roman" w:hAnsi="Times New Roman" w:cs="Times New Roman"/>
          <w:i/>
          <w:iCs/>
          <w:color w:val="000000"/>
        </w:rPr>
        <w:t>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</w:rPr>
        <w:t>[3] Income Tax – Deduction – Scientific research – Investigation of hydrology of a river is scientific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</w:rPr>
        <w:t>research.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8E7C19" w:rsidRDefault="008E7C19" w:rsidP="008E7C19">
      <w:pPr>
        <w:spacing w:after="0"/>
        <w:rPr>
          <w:rFonts w:ascii="Times New Roman" w:hAnsi="Times New Roman" w:cs="Times New Roman"/>
          <w:i/>
          <w:iCs/>
          <w:color w:val="000000"/>
        </w:rPr>
      </w:pPr>
    </w:p>
    <w:p w:rsidR="008E7C19" w:rsidRDefault="00104FCB" w:rsidP="008E7C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8E7C1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carried out certain surveys connected with proposals for electricity supply projects and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involved the feasibility of the construction of power lines, of thermal generation schemes and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hydro-electric projects. The facts are set out in the judgment.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disallowed all expenditure as being of a capital nature.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appealed, contending that the projects were for the production of income, alternatively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expenditure was on scientific research.</w:t>
      </w:r>
    </w:p>
    <w:p w:rsidR="008E7C19" w:rsidRDefault="00104FCB" w:rsidP="008E7C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  <w:r w:rsidR="008E7C1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(i) expenditure on preliminary surveys for capital projects is capital expenditure;</w:t>
      </w:r>
      <w:r w:rsidR="008E7C19">
        <w:rPr>
          <w:rFonts w:ascii="Times New Roman" w:hAnsi="Times New Roman" w:cs="Times New Roman"/>
          <w:color w:val="000000"/>
        </w:rPr>
        <w:t xml:space="preserve"> </w:t>
      </w:r>
    </w:p>
    <w:p w:rsidR="008E7C19" w:rsidRDefault="00104FCB" w:rsidP="008E7C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test of whether expenditure is on scientific research is objective and the intention behind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is irrelevant;</w:t>
      </w:r>
      <w:r w:rsidR="008E7C19">
        <w:rPr>
          <w:rFonts w:ascii="Times New Roman" w:hAnsi="Times New Roman" w:cs="Times New Roman"/>
          <w:color w:val="000000"/>
        </w:rPr>
        <w:t xml:space="preserve"> </w:t>
      </w:r>
    </w:p>
    <w:p w:rsidR="008E7C19" w:rsidRDefault="00104FCB" w:rsidP="008E7C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the expenditure on transmission lines and thermal generation schemes was not on scientific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research;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(iv) the study of the hydrology of a river is an activity in the field of natural science and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is therefore on scientific research.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 in part.</w:t>
      </w:r>
      <w:r w:rsidR="008E7C19">
        <w:rPr>
          <w:rFonts w:ascii="Times New Roman" w:hAnsi="Times New Roman" w:cs="Times New Roman"/>
          <w:color w:val="000000"/>
        </w:rPr>
        <w:t xml:space="preserve"> </w:t>
      </w:r>
    </w:p>
    <w:p w:rsidR="008E7C19" w:rsidRDefault="00104FCB" w:rsidP="008E7C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  <w:r w:rsidR="008E7C1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i/>
          <w:iCs/>
          <w:color w:val="000000"/>
        </w:rPr>
        <w:t>Kenya Meat Commission v. Income Tax</w:t>
      </w:r>
      <w:r>
        <w:rPr>
          <w:rFonts w:ascii="Times New Roman" w:hAnsi="Times New Roman" w:cs="Times New Roman"/>
          <w:color w:val="000000"/>
        </w:rPr>
        <w:t>, [1968] E.A. 281.</w:t>
      </w:r>
    </w:p>
    <w:p w:rsidR="008E7C19" w:rsidRDefault="008E7C19" w:rsidP="008E7C19">
      <w:pPr>
        <w:spacing w:after="0"/>
        <w:rPr>
          <w:rFonts w:ascii="Times New Roman" w:hAnsi="Times New Roman" w:cs="Times New Roman"/>
          <w:color w:val="000000"/>
        </w:rPr>
      </w:pPr>
    </w:p>
    <w:p w:rsidR="008E7C19" w:rsidRDefault="008E7C19" w:rsidP="008E7C19">
      <w:pPr>
        <w:spacing w:after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E7C19" w:rsidRDefault="00104FCB" w:rsidP="008E7C1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Biron J: </w:t>
      </w:r>
      <w:r>
        <w:rPr>
          <w:rFonts w:ascii="Times New Roman" w:hAnsi="Times New Roman" w:cs="Times New Roman"/>
          <w:color w:val="000000"/>
        </w:rPr>
        <w:t>These three appeals brought by the appellant Company, hereinafter referred to as the Company,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assessments by the Commissioner-General of Income Tax hereinafter referred to as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Commissioner-General, one direct from the assessment by the Commissioner-General and the other two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decisions of the Local Committee upholding the assessments by the Commissioner-General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with the consent of the parties been consolidated and heard together, as the issues are the same in all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three. All three appeals are against the refusal of the Commissioner-General to allow as deductions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incurred in surveys and feasibility studies made in respect of certain projects contemplated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Company, for the years of income 1964, 1965 and 1969.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necessary to set out the Company’s Statement of Facts and sufficient to set out the Statement for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year of income 1965 for, as remarked, the facts are the same in each case, the only difference being in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figures for the respective years.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STATEMENT OF FACTS 1965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COMPANY REQUIRED TO SUPPLY CONSUMERS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Company is obliged by the Electricity Ordinance, (Cap. 131) ss. 14 and 16 to supply consumers within its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areas of supply.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Like provision is also made by Clause 6 (1), of the Company’s Licence granted by Government on 1 March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1957.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These provisions bind the Company to meet additional demand for electricity as and when it arises within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licensed zones of supply.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STEPS TAKEN TO MEET ADDITIONAL DEMAND: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T. Ltd. meets the obligations imposed by the licence and the Electricity Ordinance by forecasting expected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demand over the years ahead. Comparison of the demand forecast against available plant and/or transmission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line capacity indicates the expected date when additional plant and/or transmission lines will require to be in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operation;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Preliminary studies are carried out from time to time of the hydroelectric potential of various rivers in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country. The Company hopes in time, in co-operation with the Ministry of Water Development and Power, to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available data on the hydro-electric potential of all the rivers in Tanzania.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demand forecasts indicate additional capacity will require to be provided, Engineering Consultants are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commissioned to carry out feasibility studies to enable a decision to be taken on the best means of meeting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additional demand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E7C19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Economic comparisons may be made of: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1. 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onstruction of a transmission line to link two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supply systems to meet additional demand in one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 e.g. Coastal System to Moshi/Arusha system.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Or2. C onstruction of alternative hydro-schemes and necessary transmission lines.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Or3. T hermal generation by steam or diesel engines in the centre which requires additional capacity.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DETAILS STUDIED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enable economic comparisons to be made, studies will be necessary of: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pattern of load growth to determine the size and frequency of installation of generating units.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comparative costs of alternative schemes.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HYDRO-ELECTRIC SCHEME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 of a proposed hydro-electric scheme can only be estimated after studies of the: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H ydrology of the river on which the proposed scheme is to be established to determine flood peaks,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pattern and amount of water flow so that the size of dams and water storage areas may be calculated.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G eology of the site and the surrounding area to ensure that no fault in the ground on which the dam is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built will cause excessive leakage of stored water through the fault thus depriving the turbines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water and reducing the Power Station output, or in the extreme case the fault could result in a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catastrophic failure of the dam.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he area of the site by Air Photography and mapping to establish ground contour levels, the line of any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tunnels necessary, and the site of the Power Stations.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G eophysical aspects of the site to establish the feasibility and difficulties of tunnelling, whether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intended power station site is suitable – e.g. rocks cannot fall into the building when erected, and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general soil conditions to gauge suitability and size of foundations.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TRANSMISSION LINES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 of a proposed transmission line can only be estimated after study of the: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C19" w:rsidRDefault="00104FCB" w:rsidP="008E7C1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Route – to establish the line route so that the most economic line is selected, to establish the type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construction, and to assess compensation for damage and wayleaves.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C19" w:rsidRDefault="008E7C19" w:rsidP="008E7C1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E</w:t>
      </w:r>
      <w:r w:rsidR="00104FCB">
        <w:rPr>
          <w:rFonts w:ascii="Times New Roman" w:hAnsi="Times New Roman" w:cs="Times New Roman"/>
          <w:color w:val="000000"/>
          <w:sz w:val="20"/>
          <w:szCs w:val="20"/>
        </w:rPr>
        <w:t>lectrical considerations to establish the load carrying capacity of the line.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C19" w:rsidRDefault="008E7C19" w:rsidP="008E7C1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L</w:t>
      </w:r>
      <w:r w:rsidR="00104FCB">
        <w:rPr>
          <w:rFonts w:ascii="Times New Roman" w:hAnsi="Times New Roman" w:cs="Times New Roman"/>
          <w:color w:val="000000"/>
          <w:sz w:val="20"/>
          <w:szCs w:val="20"/>
        </w:rPr>
        <w:t>ightning conditions to determine whether or not abnormal earthing is necessary.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C19" w:rsidRDefault="008E7C19" w:rsidP="008E7C19">
      <w:pPr>
        <w:spacing w:after="0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S</w:t>
      </w:r>
      <w:r w:rsidR="00104FCB">
        <w:rPr>
          <w:rFonts w:ascii="Times New Roman" w:hAnsi="Times New Roman" w:cs="Times New Roman"/>
          <w:color w:val="000000"/>
          <w:sz w:val="20"/>
          <w:szCs w:val="20"/>
        </w:rPr>
        <w:t>ubstations required, to establish transformer sizes and relevant switch-gear required.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THERMAL GENERATION SCHEMES</w:t>
      </w:r>
      <w:r w:rsidR="00104FCB">
        <w:rPr>
          <w:rFonts w:ascii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04FCB">
        <w:rPr>
          <w:rFonts w:ascii="Times New Roman" w:hAnsi="Times New Roman" w:cs="Times New Roman"/>
          <w:color w:val="000000"/>
          <w:sz w:val="20"/>
          <w:szCs w:val="20"/>
        </w:rPr>
        <w:t>Feasibility studies of the thermal generation schemes are less involved than those for hydro-electric schemes,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04FCB">
        <w:rPr>
          <w:rFonts w:ascii="Times New Roman" w:hAnsi="Times New Roman" w:cs="Times New Roman"/>
          <w:color w:val="000000"/>
          <w:sz w:val="20"/>
          <w:szCs w:val="20"/>
        </w:rPr>
        <w:t>yet for comparison of hydro/thermal projects or steam/diesel alternatives, it is necessary to consider various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04FCB">
        <w:rPr>
          <w:rFonts w:ascii="Times New Roman" w:hAnsi="Times New Roman" w:cs="Times New Roman"/>
          <w:color w:val="000000"/>
          <w:sz w:val="20"/>
          <w:szCs w:val="20"/>
        </w:rPr>
        <w:t>factors including: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C19" w:rsidRDefault="00104FCB" w:rsidP="008E7C19">
      <w:pPr>
        <w:spacing w:after="0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A vailability and costs of different types or grades of various and alternative types of prime movers in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to assess running costs.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O ptimisation of proximity to load centre, fuel source, cooling water supplies, etc.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S uitability of proposed site location considering foundation conditions, amenity factor, etc.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AUTHORIZATION OF EXPENDITURE ON CAPITAL PROJECTS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expenditure of a capital nature can be undertaken by T. Ltd. on: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A hydro-electric project;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O n a project for thermal generation;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O n the installation of transmission lines;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unless: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i) There is available a source or sources of finance on appropriate terms;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ii) The Board of Directors of T. Ltd has after considering all the available date decided formally to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approve such expenditure.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YEAR OF INCOME – 1965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expenditure of the sum of £49,561 referred to in the Memorandum of Appeal was incurred in respect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studies relating to the following projects: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Hale/Moshi Transmission Line Shs. 2,222/17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Mandera Hydro-electric Scheme ” 693,138/91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Greater Pangani Hydro-electric Scheme “ 182,290/80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Pangani Falls Cascade Scheme “ 113,567/17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 991,219/05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£49,561/-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Board of Directors of T. Ltd. has never formally or otherwise approved any of the said projects all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have now been abandoned.”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Likewise it is sufficient to set out the Commissioner General’s Statement of Facts for the same year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RESPONDENT’S STATEMENT OF FACTS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. . . . . . . . . . . . 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he Respondent will contend that the Appellants are not entitled to a deduction in the sum of Shs.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991,220/- or at all for the year of Income 1965 as the said sum represents capital expenditure and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prohibited deduction under ss. 14 (1) and 15 (1) of the East African Income Tax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Management Act, 1958.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he Respondent will contend that the expenditure was capital expenditure, incurred for purposes other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than Scientific Research purposes and as such the Respondent properly disallowed the Appellant’s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 for deductions.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 he Respondent will contend that the expenditure does not qualify for deduction or at all under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the Second Schedule to the East African Income Tax (Management) Act, 1958.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. . . . . . . . . . . . WHEREFOR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Respondent will pray that the appeal herein be dismissed with costs and Assessment No.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21/18210 for the year of Income 1965 be confirmed.”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 the same reasons it is also sufficient to set out the Memorandum of Appeal for the same year: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MEMORANDUM OF APPEAL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aggrieved and dissatisfied by Assessment No. 21/18210 and the decision of the Local Committee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Dar es Salaam given on the first day of October 1970, dismissing the appellant’s appeal relating to the said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assessment, in respect of the year of income 1965, the appellant hereby appeals to this Honourable Court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the said assessment on the following grounds: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T hat the said assessment is wrong in law and in fact in that the sum of £49,561 (Shs. 991,220/-) ought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have been allowed as a deduction in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computing the appellant’s gains and profits.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hat the said sum having been spent by the appellant during the said year in surveys to ascertain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or not certain capital expenditure in the development of the appellant’s undertaking should be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incurred thereafter, ought to have been deducted as: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i) expenditure of a revenue nature wholly and exclusively incurred by the appellant in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production of the appellant’s income;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ii) alternatively as expenditure of a capital nature incurred by the appellant on scientific research.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appellant therefore prays: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i) that the assessment be varied or amended by deducting the sum of £49,561 (Shs. 991,220/-)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taxable income of the appellant in the said year;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ii) for such further or other relief as this Honourable Court may think just and reasonable;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iii) for the cost of this appeal.”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first ground of appeal the issue is whether the expenditure incurred was what in popular parlance is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termed, revenue expenditure or capital expenditure, the Company’s contention being that the expenditure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revenue expenditure and therefore deductible under s. 13 (1) of the East African Income Tax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Act 1958 (hereinafter referred to as the Act) which was the Act in force at the relevant time,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I am following counsel in referring to the relevant sections as numbered in the revised version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Act, the relevant sections being 13 and 14, which in the old Act where respectively sections 14 and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counsel have cited a considerable number of authorities, I hope I will be forgiven for not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referring to a single one on this issue, as each case has to be decided on its own particular facts, and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can be distinguished from other cases, and further I am satisfied that this particular case can be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on its facts related to the relevant provisions in the Act, by simply applying the cardinal canon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construction, that the words of a statute should be given their plain and ordinary meaning.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in the Act governing this case are sections 13 (1) and 14 (1). The relevant part of s. 13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reads: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“13. (1) For the purpose of ascertaining the total income of any person for any year of income there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deducted all expenditure incurred in such year of income which is expenditure wholly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exclusively incurred by him</w:t>
      </w:r>
      <w:r w:rsidR="008E7C19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production of such income and which is not expenditure in respect of which no deduction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allowed under section 14;”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the relevant part of s. 14 referred to in the subsection set out and on which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relies, reads: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“14. (1) Subject to subsections (2), (3), (4) and (5) of section 13, for the purposes of ascertaining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total income of any person for any year of income, no deduction shall be allowed in respect of: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 . . . . 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any capital expenditure, or any loss, diminution or exhaustion of capital.”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remarked, this first issue is simply whether the expenditure incurred is revenue expenditure or capital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Initially, the Company is handicapped if not estopped, by its own Statement of Facts,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ante-penultimate paragraph of which reads: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AUTHORIZATION OF EXPENDITURE ON CAPITAL PROJECTS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expenditure of a capital nature can be undertaken by T. Ltd. On: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A Hydro-electric project;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O n a project for thermal generation;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O n the installation of transmission lines;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unless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i) There is available a source or sources of finance on appropriate terms.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ii) The Board of Directors of T. Ltd. has after considering all the available data decided formally to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approve such expenditure.”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Further, the Company states in its Memorandum of Appeal at paragraph 2: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“2. That the said sum having been spent by the appellant during the year in surveys to ascertain whether 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certain capital expenditure in the development of the appellant’s undertaking should be incurred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thereafter, ought to have been deducted as: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i) expenditure of a revenue nature wholly and exclusively incurred by the appellant in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production of the appellant’s income;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ii) alternatively as expenditure of a capital nature incurred by the appellant on scientific research.”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Thus the Company itself expressly states that the costs of the projects would if they had not been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abandoned have been capital expenditure.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still, Mr. Robinson who described himself as presently the manager (Construction Division)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Company and at the material times as the deputy generating engineer, who gave evidence for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Company, stated and I quote: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“These surveys become necessary when it is clear that generation, transmission and distribution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must be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added to the Company’s assets </w:t>
      </w:r>
      <w:r>
        <w:rPr>
          <w:rFonts w:ascii="Times New Roman" w:hAnsi="Times New Roman" w:cs="Times New Roman"/>
          <w:color w:val="000000"/>
          <w:sz w:val="20"/>
          <w:szCs w:val="20"/>
        </w:rPr>
        <w:t>in order to meet the demand in future years.” (The italics are naturally mine).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a purely commonsense point of view I fail to comprehend how the costs of these preliminary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surveys could possibly have been divorced and separated from the costs of the projects if they had been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executed. It therefore follows, to my mind, that just as the costs of these feasibility studies would have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included in the overall costs of the projects if they had been proceeded with the executed, the fact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projects were abandoned cannot ipso facto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effect a division and differentiation in treatment between the </w:t>
      </w:r>
      <w:r>
        <w:rPr>
          <w:rFonts w:ascii="Times New Roman" w:hAnsi="Times New Roman" w:cs="Times New Roman"/>
          <w:color w:val="000000"/>
        </w:rPr>
        <w:lastRenderedPageBreak/>
        <w:t>costs of these preliminary surveys and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the projects if executed, so that the former comes under income expenditure because the projects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abandoned.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Mr. Bissland, the Company’s manager of finance, testified that the costs of these surveys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shown in the Company’s accounts under the heading of expenses account cannot in any way affect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position. Likewise the fact that, as stated in the Statement of Facts, no expenditure of a capital nature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 be undertaken by the Company unless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Board of Directors has approved such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and the expenditure incurred on the surveys was never formally or otherwise approved,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affect the nature of the expenditure in law.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mere fact that the projects were not proceeded with because, so Mr. Robinson stated in his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the government could not guarantee an adequate flow of water from the Pangani river as there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other riparian rights, and also because it was considered that the output as indicated by the reports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inadequate for the demand in future years, does not make the expenditure on these preliminary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surveys any the less expenditure on the contemplated projects and so capital expenditure.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any assistance were necessary to what I consider this commonsense ruling on the nature of these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expenses on the preliminary surveys, it can be found in r. 60 of the Electricity Rules made under s. 83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Electricity Ordinance (Cap. 131) which in the Second Schedule prescribes the form the Annual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of Accounts are to be shown. No. III headed Capital Account gives as the first item, “1. To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expenses (to be specified)”.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judgment and I have no hesitation in so finding, the costs incurred in these surveys made by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consultant firms of Messrs. Balfour, Beatty &amp; Co. Limited and Sir William Halcrow and Partners,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Consulting Engineers, are but preliminary expenses for the contemplated projects, which although they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proceeded with but abandoned, nonetheless constitute capital expenditure.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ground of appeal therefore fails.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ground is based on a contention in the alternative, that the expenditure even if capital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expenditure, was nevertheless deductible under the provisions of s. 13 (2)(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)(1) of the Act, as being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of a capital nature on scientific research.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(2) paragraph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 reads: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Without prejudice to the operation of sub-s. (1), in computing the gains or profits for any year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income chargeable to tax under s. 3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), the following amounts shall be deducted–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. . . 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) a ny expenditure incurred by any person for the purposes of a trade carried on by him, being–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e xpenditure of a capital nature on scientific research; 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e xpenditure not of a capital nature, on scientific research; 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a sum paid to any scientific research association approved for the purposes of this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 by the Commissioner-General being an association which has as its object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undertaking of scientific research related to the class of trade to which such trade belongs;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a sum paid to any university, college, research institute or other similar institution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approved for the purposes of this paragraph by the Commissioner-General for such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scientific research as is mentioned in subparagraph (iii) of this paragraph;”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contended by the Company that the expenditure, the subject matter of these appeals, was on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scientific research within the meaning of sub-s. (2), para.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Kinariwalla for the Company, called in aid the case of </w:t>
      </w:r>
      <w:r>
        <w:rPr>
          <w:rFonts w:ascii="Times New Roman" w:hAnsi="Times New Roman" w:cs="Times New Roman"/>
          <w:i/>
          <w:iCs/>
          <w:color w:val="000000"/>
        </w:rPr>
        <w:t>Kenya Meat Commission v. Income Tax</w:t>
      </w:r>
      <w:r>
        <w:rPr>
          <w:rFonts w:ascii="Times New Roman" w:hAnsi="Times New Roman" w:cs="Times New Roman"/>
          <w:color w:val="000000"/>
        </w:rPr>
        <w:t>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[1968] E.A. 281. The headnote to that case which fully sets out the facts reads: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Kenya Meat Commission made a donation of K. Shs. 200,000/- to the Kenya National Fund on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condition that the money was used by the Director of Veterinary Services ‘in research and other work which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will be of benefit to the Kenya beef and mutton industry’. The Commission, which had a statutory monopoly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beef and mutton trade in Kenya, took care to ensure that the money was to be expended only on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specific projects which would benefit that trade (and not, for example, the dairy industry). The Commissioner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Income Tax refused to allow this donation as a deductible expense, and his refusal was upheld (on appeal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local committee) by the High Court of Kenya. The Commission then brought this further appeal,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arguing that the donation was expenditure of a capital nature incurred on scientific research and therefore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deductible under s. 14 (2)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East African Income Tax (Management) Act 1958. The Commissioner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Income Tax, on the other hand, argued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 alia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donation was not deductible under that provision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because it was not expenditure incurred ‘for the purpose of a trade carried on’ by the Commission.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HELD. (i) Sub-s. 14(1) and sub-s. 14 (2) of the East African Income Tax (Management) Act 1958 must be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read independently; and the classes of expenditure set out in sub-s. 14 (2) are exceptions to the general rules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set out in sub-s. 15 (1) of that Act;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the donation was expenditure incurred ‘by’ the Commission ‘wholly and exclusively’ for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production of income; and was made ‘for the purposes of trade carried on’ by the Commission within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s. 14(2)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Act;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therefore the donation was a deductible expense under s. 14 (2)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allowed.”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case certainly supports Mr. Kinariwalla’s submission that subsections (1) and (2) of s. 13 (in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revised version which we are following) are to be read independently of each other, also that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incurred in these cases was for the production of income and for the purposes of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Company’s trade. But it does not support the Company’s case that, nor is it of any assistance to the Court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determining whether, this expenditure constitutes expenditure on scientific research within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of sub-para.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 of sub-s. (2) of s. 13 of the Act.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Kenya case the expenditure the subject matter of the appeal, was money given to the Kenya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Fund on the express condition that it was to be used by the Director of Veterinary Services ‘in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research and other work which will be of benefit to the Kenya Beef and Mutton Industry’. In our case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expenditure, the subject matter of these appeals, was on feasibility studies in respect of certain specific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projects under contemplation. And the question to be determined is whether such expenditure can be held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constitute expenditure on scientific research within the meaning of sub-para.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 of sub-s. (2) of s. 13.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must be conceded at once that I find the question extremely difficult to resolve. No assistance can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derived from the corresponding provisions in the English Act which vary very little from those in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we are construing. Nor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I been able to find a single authority to the point. Unlike the issue on the first ground of appeal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I experienced little difficulty in relating the facts to the relevant provisions and finding that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could not be other than capital expenditure without calling in aid any authority, on this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issue, I would more than welcome some guidance in construing the relevant provisions. However,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having found any, I am driven to construe as best as I can the provisions of the Act in relation to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facts, relying solely on my own interpretation.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Scientific research is defined in the Act itself in s. 13 (6) as: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“13. (6) For the purposes of subsection (2)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) of this section: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‘Scientific research’ means any activities in the fields of natural or applied science for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extension of human knowledge.”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Mr. Bishota for the Commissioner General submitted that for expenditure to constitute expenditure on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scientific research within the meaning of subpara.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 (i) it must be similar to the expenditures set out in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sub-paras. (iii) and (iv) that is, it must correspond to grants made to scientific research associations or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institutions of a similar nature for the express purpose of research, as indeed was the position in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Kenya Meat Commission </w:t>
      </w:r>
      <w:r>
        <w:rPr>
          <w:rFonts w:ascii="Times New Roman" w:hAnsi="Times New Roman" w:cs="Times New Roman"/>
          <w:color w:val="000000"/>
        </w:rPr>
        <w:t>case.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do not agree with this submission by Mr. Bishota, for the paragraph sets out several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independent types of expenditure and they need not necessarily be of the same nature nor need they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construed ejusdem generis. The fact that the expenditure was not expressly made available for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scientific research or indeed any abstract or recondite research need not, to my mind, be fatal, if in fact it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incurred on what could be comprehended “scientific research” within the meaning of the section.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in each of the three consolidated cases the expenses are lumped together, in order to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whether they, or any of the individual expenses, could be held to constitute expenditure on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scientific research, they must be considered separately and individually.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expenses as set out in the several Statements of Facts are as follows: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Year of Income 1964: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Greater Pangani Hydro-Electric Project (50%) Shs. 182,290/80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Moshi 2A, Hydro-Electric Project ” 53,612/92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Hale/Moshi Transmission Line ” 5,456/67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” 241,360/39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Year of Income 1965: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Hale/Moshi Transmission Line Shs. 2,222/17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Mandera Hydro-electric Scheme ” 693,138/91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Greater Pangani Hydro-electric Scheme ” 182,290/80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Pangani Falls Cascade Scheme ” 113,567/17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” 991,219/05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Year of Income 1969:</w:t>
      </w:r>
      <w:r w:rsidR="008E7C1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Additions to Hale and Ilala Substations Shs. 63,446/-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Proposed Thermal Power Station Investigation ” 23,171/-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Mandera ” 4,098/-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Kurasini “B” Survey and site clearance ” 15,444/-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Kurasini “B” 33KV Interconnections ” 11,311/-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Shs. 117,470/-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now propose to examine closely and construe the wording of para.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). It starts off with: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expenditure incurred by any person for the purposes of a trade carried on by him, . . 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Pausing there, it is not and cannot be disputed that the expenditure was for the purposes of the trade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carried on by the Company. In fact the Company is compelled both by its licence and the Electricity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Ordinance above referred to, to meet the ever increasing demand for power. Clause 6 (1) of the Company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licence reads: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“6.(1) The licensees shall supply electrical energy to any person within any area of supply who may require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supply on the same terms and conditions as those to which any other person in the same zone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 area of supply is entitled in similar circumstances to a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corresponding supply thereof.”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by ss. 14 and 16 (1) and (2) of the Electricity Ordinance: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“14. Where energy is supplied by a licensee, every person within the area of supply shall, except in so far as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otherwise provided by the terms and conditions of the licence, be entitled to a supply on the same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terms as those on which any other person in the same area is entitled in similar circumstances to a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corresponding supply.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16. ( 1) I n any compulsory zone the licensee shall make available a general supply of electrical energy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all ordinary consumers requiring such supply and shall install and maintain such mains and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distributing mains, including transformers, as are necessary, in the opinion of the Minister for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Water Development and Power, to provide such supply and no charge shall be made to owners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occupiers of premises in any such zone supplied under that supply in respect of mains and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distributing mains, including transformers, and further the licensee shall install any service line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may be necessary for the purpose of supplying the maximum power with which any such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owner or occupier is entitled to be supplied under the licence: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the cost or, in any case where a scale of charges for such purpose has been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submitted by the licensee and approved by the Minister for Water Development and Power, an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calculated according to such scale to represent the cost, of so much of any electric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supply-lines for the supply of electrical energy to any owner or occupier as may be laid 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erected upon the property of that owner or in the possession of that occupier, and of so much of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such electric supply lines as it may be necessary to lay or erect for a greater distance than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60 feet from any distributing main of the licensee, although not on that property, for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purpose of such supply, shall, if the licensee so requires, be refunded by that owner or occupier.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65868" w:rsidRDefault="00104FCB" w:rsidP="008E7C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( 2) I n a development zone the licensee shall make available a supply of electrical energy to all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ordinary consumers requiring such supply and shall install and maintain such mains and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distributing mains, including transformers, as are necessary in the opinion of the Minister for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Water Development and Power, to give such supply and make no charge therefore to any such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consumer. The conditions for the supply of electricity to the aforesaid consumers shall be as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laid down under subsection (1) of this section and in addition the licensee may require a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guarantee, which may include a deposit or other security, from any consumer that such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consumer will, for a period not exceeding seven years, receive and pay for the supply of energy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such a rate that the annual payment to be made under such guarantee shall be an annual sum,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specified in the guarantee, which shall not exceed twenty per centum of the actual capital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 to the licensee of providing and erecting or laying down the required additional electric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supply lines incurred in providing such supply: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where a supply is given in whole or in part from lines which are already subject to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similar guarantee from another consumer, and such guarantee is still in force, the licensee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apportion the remaining annual sums guaranteed under the first guarantee between the first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such subsequent consumers and the licensee shall require each such subsequent consumers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enter a guarantee accordingly. Any dispute between any consumers or between the licensee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any consumer under this provision shall be referred for the decision of an electric inspector,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of such other person as the Minister may in any special case appoint, who shall adjudicate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such dispute and the decision of such electric inspector or such other person as aforesaid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thereon shall be final and binding between the parties: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further that in calculating such annual sum as aforesaid any other item of outlay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(including the costs of additional works for generation or transmission) involved in providing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supply required by any consumer may also be taken into account if and so far as the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 may approve according to the circumstances of each case: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provided further that the consumer may by agreement with the licensee make a capital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in satisfaction or reduction of any guarantee.”</w:t>
      </w:r>
      <w:r w:rsidR="008E7C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not disputed that the areas for which the various projects were intended are compulsory zones within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meaning of the licence or their equivalent in the Ordinance, development zones.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paragraph then goes on to say at sub-para. (i) “expenditure of a capital nature on scientific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research”.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change in the wording is to my mind not only relevant but very material, for the paragraph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commences with “any expenditure incurred by any person for the </w:t>
      </w:r>
      <w:r>
        <w:rPr>
          <w:rFonts w:ascii="Times New Roman" w:hAnsi="Times New Roman" w:cs="Times New Roman"/>
          <w:i/>
          <w:iCs/>
          <w:color w:val="000000"/>
        </w:rPr>
        <w:t xml:space="preserve">purposes </w:t>
      </w:r>
      <w:r>
        <w:rPr>
          <w:rFonts w:ascii="Times New Roman" w:hAnsi="Times New Roman" w:cs="Times New Roman"/>
          <w:color w:val="000000"/>
        </w:rPr>
        <w:t>of a trade carried on by him”,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of the expenditure itself it says “expenditure of a capital nature on scientific research” not </w:t>
      </w:r>
      <w:r>
        <w:rPr>
          <w:rFonts w:ascii="Times New Roman" w:hAnsi="Times New Roman" w:cs="Times New Roman"/>
          <w:i/>
          <w:iCs/>
          <w:color w:val="000000"/>
        </w:rPr>
        <w:t>for the</w:t>
      </w:r>
      <w:r w:rsidR="008E7C1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purposes of </w:t>
      </w:r>
      <w:r>
        <w:rPr>
          <w:rFonts w:ascii="Times New Roman" w:hAnsi="Times New Roman" w:cs="Times New Roman"/>
          <w:color w:val="000000"/>
        </w:rPr>
        <w:t>scientific research. Therefore, to my mind, the test is objective, in other words, whether or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expenditure was expressly intended for the purposes of scientific research is not a determining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factor; the criterion is objective, that is, whether in fact the expenditure was on scientific research.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judgment the expenditure on the feasibility studies for the construction of transmission lines,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likewise the expenditure on the feasibility studies for thermal generating schemes, cannot by any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stretch come within the ambit of expenditure on scientific research.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 w:rsidR="008E7C19">
        <w:rPr>
          <w:rFonts w:ascii="Times New Roman" w:hAnsi="Times New Roman" w:cs="Times New Roman"/>
          <w:color w:val="000080"/>
        </w:rPr>
        <w:t xml:space="preserve">I </w:t>
      </w:r>
      <w:r>
        <w:rPr>
          <w:rFonts w:ascii="Times New Roman" w:hAnsi="Times New Roman" w:cs="Times New Roman"/>
          <w:color w:val="000000"/>
        </w:rPr>
        <w:t xml:space="preserve">therefore have no hesitation in finding that these </w:t>
      </w:r>
      <w:r>
        <w:rPr>
          <w:rFonts w:ascii="Times New Roman" w:hAnsi="Times New Roman" w:cs="Times New Roman"/>
          <w:color w:val="000000"/>
        </w:rPr>
        <w:lastRenderedPageBreak/>
        <w:t>expenses are not deductible as capital expenditure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incurred on scientific research.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expenses on the feasibility studies on the hydro-electric schemes in my view fall into an entirely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category. In this connection I refer to the Statement of Facts wherein is set out what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studies entailed.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[After noting the paragraph from the statement of facts headed “</w:t>
      </w:r>
      <w:r>
        <w:rPr>
          <w:rFonts w:ascii="Times New Roman" w:hAnsi="Times New Roman" w:cs="Times New Roman"/>
          <w:i/>
          <w:iCs/>
          <w:color w:val="000000"/>
        </w:rPr>
        <w:t>HYDRO-ELECTRIC SCHEME</w:t>
      </w:r>
      <w:r>
        <w:rPr>
          <w:rFonts w:ascii="Times New Roman" w:hAnsi="Times New Roman" w:cs="Times New Roman"/>
          <w:color w:val="000000"/>
        </w:rPr>
        <w:t>”: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continued.]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definition of scientific research at s. 13 (6) it is stated at sub-para.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“ ‘scientific research’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 any activities in the fields of natural or applied science for the extension of human knowledge”.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will not, I think, be disputed that the study of the hydrology of a river or the geology and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geophysical aspects of the riverside are activities in the fields of natural science. And I do not think it is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call in aid any dictionary definitions, for as remarked above, I am construing the words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in their plain and ordinary meaning.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also pertinent to note that these feasibility surveys and studies produced several reports; amongst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being a report by Sir William Halcrow and Partners on “The Hydrology of the Pangani River Basin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Statutory Entitlement to flow at Hale” and a report by Messrs. Balfour, Beatty &amp; Co. on “Future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Hydro-Electric Developments on the Pangani River”.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the researchers and studies of the potentialities of the Mandera and Pagani Rivers with a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to the production of electric power from them, cannot be regarded as other than activities in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fields of natural science.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requirement for such activities to constitute scientific research is that such activities be “for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extension of human knowledge”. It cannot in my view, be gainsaid that research into the potentialities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rivers for the supply of electric power, particularly in the context of the present world energy crisis,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for the extension of human knowledge, within the meaning of the definition of “scientific research”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set out. In this respect it is pertinent to recall that Mr. Robinson stated in his evidence, that one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reasons the schemes were not proceeded with, was that the output from the rivers was considered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insufficient for the requirements in future years and that, to quote him verbatim, “the projects were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dropped in favour of a larger development on the Great Ruaha River”, which naturally would be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preceded by feasibility studies, as were made in this, or rather, these cases. It is also I think, not irrelevant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refer to another item in Mr. Robinson’s evidence in connection with the question whether these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feasibility studies resulted in the extension of human knowledge, in that he stated that although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studies were undertaken at the instance and for the purposes of the Company’s operations, they could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be of value to other interests, such as agricultural interests.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therefore find as a fact that the expenses incurred on the feasibility surveys and studies for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hydro-electric projects are deductible as expenditure of a capital nature on scientific research within the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of s. 13 (2)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 (i).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the appeals are allowed to the extent that the assessment for the year of income 1964 is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varied so that the expenses incurred on the research and feasibility studies for the Greater Pangani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Hydro-Electric Project are allowed as deductible expenditure, the assessment for the year of income 1965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varied to the extent that the expenditure on the research and feasibility studies for the Mandera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Hydro-Electric Scheme, the Greater Pangani Hydro-Electric Scheme and the Pangani Falls Cascade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Scheme, are allowed as deductible expenditure. And the appeal against the assessment for the year of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1969 is dismissed in its entirety.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C65868" w:rsidRDefault="008E7C19" w:rsidP="008E7C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104FCB">
        <w:rPr>
          <w:rFonts w:ascii="Times New Roman" w:hAnsi="Times New Roman" w:cs="Times New Roman"/>
          <w:color w:val="000000"/>
        </w:rPr>
        <w:t>For the appellant:</w:t>
      </w:r>
      <w:r>
        <w:rPr>
          <w:rFonts w:ascii="Times New Roman" w:hAnsi="Times New Roman" w:cs="Times New Roman"/>
          <w:color w:val="000000"/>
        </w:rPr>
        <w:t xml:space="preserve"> </w:t>
      </w:r>
      <w:r w:rsidR="00104FCB">
        <w:rPr>
          <w:rFonts w:ascii="Times New Roman" w:hAnsi="Times New Roman" w:cs="Times New Roman"/>
          <w:i/>
          <w:iCs/>
          <w:color w:val="000000"/>
        </w:rPr>
        <w:t xml:space="preserve">AG Kinariwalla </w:t>
      </w:r>
      <w:r w:rsidR="00104FCB">
        <w:rPr>
          <w:rFonts w:ascii="Times New Roman" w:hAnsi="Times New Roman" w:cs="Times New Roman"/>
          <w:color w:val="000000"/>
        </w:rPr>
        <w:t xml:space="preserve">(instructed by the </w:t>
      </w:r>
      <w:r w:rsidR="00104FCB">
        <w:rPr>
          <w:rFonts w:ascii="Times New Roman" w:hAnsi="Times New Roman" w:cs="Times New Roman"/>
          <w:i/>
          <w:iCs/>
          <w:color w:val="000000"/>
        </w:rPr>
        <w:t>Tanzania Legal Corporation</w:t>
      </w:r>
      <w:r w:rsidR="00104FCB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B48C8" w:rsidRDefault="00104FCB" w:rsidP="008E7C19">
      <w:pPr>
        <w:spacing w:after="0"/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respondent:</w:t>
      </w:r>
      <w:r w:rsidR="008E7C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DMK Bishota </w:t>
      </w:r>
      <w:r>
        <w:rPr>
          <w:rFonts w:ascii="Times New Roman" w:hAnsi="Times New Roman" w:cs="Times New Roman"/>
          <w:color w:val="000000"/>
        </w:rPr>
        <w:t>(Principal Assistant Counsel to the Community)</w:t>
      </w:r>
      <w:r w:rsidR="008E7C19">
        <w:t xml:space="preserve"> 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CB"/>
    <w:rsid w:val="00104FCB"/>
    <w:rsid w:val="006B48C8"/>
    <w:rsid w:val="008E7C19"/>
    <w:rsid w:val="00C6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2733B-0EAA-43C5-93F3-BD8C4F78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5187</Words>
  <Characters>29569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2018-07-05T13:31:00Z</dcterms:created>
  <dcterms:modified xsi:type="dcterms:W3CDTF">2018-07-11T13:28:00Z</dcterms:modified>
</cp:coreProperties>
</file>