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FD1" w:rsidRDefault="00D70F73" w:rsidP="00425FD1">
      <w:pPr>
        <w:spacing w:after="0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 P Ltd v Income Tax</w:t>
      </w:r>
    </w:p>
    <w:p w:rsidR="00425FD1" w:rsidRDefault="00D70F73" w:rsidP="00425FD1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25FD1" w:rsidRDefault="00D70F73" w:rsidP="00425FD1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June 1974</w:t>
      </w:r>
    </w:p>
    <w:p w:rsidR="00425FD1" w:rsidRDefault="00D70F73" w:rsidP="00425FD1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50/1973 (117/74)</w:t>
      </w:r>
    </w:p>
    <w:p w:rsidR="00425FD1" w:rsidRDefault="00D70F73" w:rsidP="00425FD1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425FD1" w:rsidRDefault="00D70F73" w:rsidP="00425FD1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25FD1" w:rsidRDefault="00D70F73" w:rsidP="00425FD1">
      <w:pPr>
        <w:spacing w:after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Income Tax – Capital or income p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ayment – Land and construction of buildings to be surrendered to</w:t>
      </w:r>
      <w:r w:rsidR="00425FD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government – Whether a wasting capital asset – East African Income Tax Management Act </w:t>
      </w:r>
      <w:r>
        <w:rPr>
          <w:rFonts w:ascii="Times New Roman" w:hAnsi="Times New Roman" w:cs="Times New Roman"/>
          <w:color w:val="000000"/>
        </w:rPr>
        <w:t xml:space="preserve">1958,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14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425FD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[2] Income Tax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Refraint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from assessment or collection of tax – No power to grant allowances or vary</w:t>
      </w:r>
      <w:r w:rsidR="00425FD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 reduce assessments – Whether Commissioner has discretion may be decided by court – East African</w:t>
      </w:r>
      <w:r w:rsidR="00425FD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Income Tax Management Act </w:t>
      </w:r>
      <w:r>
        <w:rPr>
          <w:rFonts w:ascii="Times New Roman" w:hAnsi="Times New Roman" w:cs="Times New Roman"/>
          <w:color w:val="000000"/>
        </w:rPr>
        <w:t xml:space="preserve">1958,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141</w:t>
      </w:r>
      <w:r>
        <w:rPr>
          <w:rFonts w:ascii="Times New Roman" w:hAnsi="Times New Roman" w:cs="Times New Roman"/>
          <w:i/>
          <w:iCs/>
          <w:color w:val="000000"/>
        </w:rPr>
        <w:t>.</w:t>
      </w:r>
      <w:r w:rsidR="00425FD1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425FD1" w:rsidRDefault="00D70F73" w:rsidP="00425FD1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425FD1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appellant agreed with government for the grant of a casino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in Nairobi for 15 years. At the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expiry of the 15 years the land and buildings would revert to government.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claimed to deduct from its income for tax purposes a proportion of the cost of the land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buildings, arguing that the sole purpose of expenditure thereon was the earning of income, and that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agreement to surrender at the end of the term meant that the land and buildings did not constitute a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capital asset</w:t>
      </w:r>
      <w:r w:rsidR="00425FD1">
        <w:rPr>
          <w:rFonts w:ascii="Times New Roman" w:hAnsi="Times New Roman" w:cs="Times New Roman"/>
          <w:color w:val="000000"/>
        </w:rPr>
        <w:t>.</w:t>
      </w:r>
      <w:r w:rsidR="00425FD1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had asked the Commissioner-General to allow a special depreciation allowance under s.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141 and had been told that the section only allowed a decision not to assess or recover tax. On the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appeal the respondent contended that the decision could not be challenged in any court.</w:t>
      </w:r>
    </w:p>
    <w:p w:rsidR="00425FD1" w:rsidRDefault="00425FD1" w:rsidP="00425FD1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D70F73">
        <w:rPr>
          <w:rFonts w:ascii="Times New Roman" w:hAnsi="Times New Roman" w:cs="Times New Roman"/>
          <w:b/>
          <w:bCs/>
          <w:color w:val="000000"/>
        </w:rPr>
        <w:t>Held –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D70F73">
        <w:rPr>
          <w:rFonts w:ascii="Times New Roman" w:hAnsi="Times New Roman" w:cs="Times New Roman"/>
          <w:color w:val="000000"/>
        </w:rPr>
        <w:t>(</w:t>
      </w:r>
      <w:proofErr w:type="spellStart"/>
      <w:r w:rsidR="00D70F73">
        <w:rPr>
          <w:rFonts w:ascii="Times New Roman" w:hAnsi="Times New Roman" w:cs="Times New Roman"/>
          <w:color w:val="000000"/>
        </w:rPr>
        <w:t>i</w:t>
      </w:r>
      <w:proofErr w:type="spellEnd"/>
      <w:r w:rsidR="00D70F73">
        <w:rPr>
          <w:rFonts w:ascii="Times New Roman" w:hAnsi="Times New Roman" w:cs="Times New Roman"/>
          <w:color w:val="000000"/>
        </w:rPr>
        <w:t>) the land and buildings were a capital asset;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D70F73">
        <w:rPr>
          <w:rFonts w:ascii="Times New Roman" w:hAnsi="Times New Roman" w:cs="Times New Roman"/>
          <w:color w:val="000000"/>
        </w:rPr>
        <w:t>( ii</w:t>
      </w:r>
      <w:proofErr w:type="gramEnd"/>
      <w:r w:rsidR="00D70F73">
        <w:rPr>
          <w:rFonts w:ascii="Times New Roman" w:hAnsi="Times New Roman" w:cs="Times New Roman"/>
          <w:color w:val="000000"/>
        </w:rPr>
        <w:t>) the surrender would constitute a loss, diminution or exhaustion of capital;</w:t>
      </w:r>
      <w:r>
        <w:rPr>
          <w:rFonts w:ascii="Times New Roman" w:hAnsi="Times New Roman" w:cs="Times New Roman"/>
          <w:color w:val="000000"/>
        </w:rPr>
        <w:t xml:space="preserve"> </w:t>
      </w:r>
      <w:r w:rsidR="00D70F73">
        <w:rPr>
          <w:rFonts w:ascii="Times New Roman" w:hAnsi="Times New Roman" w:cs="Times New Roman"/>
          <w:color w:val="000000"/>
        </w:rPr>
        <w:t>(iii) the question whether the Commissioner-General has the power to act under s. 141 can be decided</w:t>
      </w:r>
      <w:r>
        <w:rPr>
          <w:rFonts w:ascii="Times New Roman" w:hAnsi="Times New Roman" w:cs="Times New Roman"/>
          <w:color w:val="000000"/>
        </w:rPr>
        <w:t xml:space="preserve"> </w:t>
      </w:r>
      <w:r w:rsidR="00D70F73">
        <w:rPr>
          <w:rFonts w:ascii="Times New Roman" w:hAnsi="Times New Roman" w:cs="Times New Roman"/>
          <w:color w:val="000000"/>
        </w:rPr>
        <w:t>by the court; it is only a decision actually made under the section which cannot be challenged;</w:t>
      </w:r>
      <w:r>
        <w:rPr>
          <w:rFonts w:ascii="Times New Roman" w:hAnsi="Times New Roman" w:cs="Times New Roman"/>
          <w:color w:val="000000"/>
        </w:rPr>
        <w:t xml:space="preserve"> </w:t>
      </w:r>
      <w:r w:rsidR="00D70F73">
        <w:rPr>
          <w:rFonts w:ascii="Times New Roman" w:hAnsi="Times New Roman" w:cs="Times New Roman"/>
          <w:color w:val="000000"/>
        </w:rPr>
        <w:t>(iv) there is power only to refrain from assessing or recovering tax, and not to grant allowances or to</w:t>
      </w:r>
      <w:r>
        <w:rPr>
          <w:rFonts w:ascii="Times New Roman" w:hAnsi="Times New Roman" w:cs="Times New Roman"/>
          <w:color w:val="000000"/>
        </w:rPr>
        <w:t xml:space="preserve"> </w:t>
      </w:r>
      <w:r w:rsidR="00D70F73">
        <w:rPr>
          <w:rFonts w:ascii="Times New Roman" w:hAnsi="Times New Roman" w:cs="Times New Roman"/>
          <w:color w:val="000000"/>
        </w:rPr>
        <w:t>vary or reduce assessments.</w:t>
      </w:r>
      <w:r>
        <w:rPr>
          <w:rFonts w:ascii="Times New Roman" w:hAnsi="Times New Roman" w:cs="Times New Roman"/>
          <w:color w:val="000000"/>
        </w:rPr>
        <w:t xml:space="preserve"> </w:t>
      </w:r>
      <w:r w:rsidR="00D70F73">
        <w:rPr>
          <w:rFonts w:ascii="Times New Roman" w:hAnsi="Times New Roman" w:cs="Times New Roman"/>
          <w:color w:val="000000"/>
        </w:rPr>
        <w:t>Appeal dismissed.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278A0" w:rsidRDefault="00D70F73" w:rsidP="00425FD1">
      <w:pPr>
        <w:spacing w:after="0"/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  <w:r w:rsidR="00425FD1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Mallaby-Deeley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Commissioner of Inland Revenue</w:t>
      </w:r>
      <w:r>
        <w:rPr>
          <w:rFonts w:ascii="Times New Roman" w:hAnsi="Times New Roman" w:cs="Times New Roman"/>
          <w:color w:val="000000"/>
        </w:rPr>
        <w:t>, 23 T.C. 153.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Racecourse Betting Control Board v. Wild</w:t>
      </w:r>
      <w:r>
        <w:rPr>
          <w:rFonts w:ascii="Times New Roman" w:hAnsi="Times New Roman" w:cs="Times New Roman"/>
          <w:color w:val="000000"/>
        </w:rPr>
        <w:t>, 22 T.C. 182.</w:t>
      </w:r>
      <w:r w:rsidR="00425FD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Ralli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Estates v. Income Tax</w:t>
      </w:r>
      <w:r>
        <w:rPr>
          <w:rFonts w:ascii="Times New Roman" w:hAnsi="Times New Roman" w:cs="Times New Roman"/>
          <w:color w:val="000000"/>
        </w:rPr>
        <w:t>, [1958] E.A. 165; [1961] E.A. 48.</w:t>
      </w:r>
      <w:r w:rsidR="00425FD1">
        <w:t xml:space="preserve"> 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73"/>
    <w:rsid w:val="003278A0"/>
    <w:rsid w:val="00425FD1"/>
    <w:rsid w:val="00D7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7894E-EA53-4D2E-B7EA-DFBC3050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2018-07-06T11:52:00Z</dcterms:created>
  <dcterms:modified xsi:type="dcterms:W3CDTF">2018-07-11T13:24:00Z</dcterms:modified>
</cp:coreProperties>
</file>