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312" w:rsidRDefault="00D96B6F" w:rsidP="00225312">
      <w:pPr>
        <w:spacing w:after="0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 P Ltd v Income Tax</w:t>
      </w:r>
    </w:p>
    <w:p w:rsidR="00225312" w:rsidRDefault="00D96B6F" w:rsidP="00225312">
      <w:pPr>
        <w:spacing w:after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225312" w:rsidRDefault="00D96B6F" w:rsidP="00225312">
      <w:pPr>
        <w:spacing w:after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14 June 1974</w:t>
      </w:r>
    </w:p>
    <w:p w:rsidR="00225312" w:rsidRDefault="00D96B6F" w:rsidP="00225312">
      <w:pPr>
        <w:spacing w:after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50/1973 (117/74)</w:t>
      </w:r>
    </w:p>
    <w:p w:rsidR="00225312" w:rsidRDefault="00D96B6F" w:rsidP="00225312">
      <w:pPr>
        <w:spacing w:after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Harris J</w:t>
      </w:r>
    </w:p>
    <w:p w:rsidR="00225312" w:rsidRDefault="00D96B6F" w:rsidP="00225312">
      <w:pPr>
        <w:spacing w:after="0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[1] </w:t>
      </w:r>
    </w:p>
    <w:p w:rsidR="00225312" w:rsidRDefault="00D96B6F" w:rsidP="00225312">
      <w:pPr>
        <w:spacing w:after="0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Income Tax – Capital or income payment – Land and construction of buildings to be surrendered to</w:t>
      </w:r>
      <w:r w:rsidR="0022531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government – Whether a wasting capital asset – East African Income Tax Management Act </w:t>
      </w:r>
      <w:r>
        <w:rPr>
          <w:rFonts w:ascii="Times New Roman" w:hAnsi="Times New Roman" w:cs="Times New Roman"/>
          <w:color w:val="000000"/>
        </w:rPr>
        <w:t xml:space="preserve">1958,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14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  <w:r w:rsidR="0022531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[2] Income Tax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Refraint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from assessment or collection of tax – No power to grant allowances or vary</w:t>
      </w:r>
      <w:r w:rsidR="0022531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or reduce assessments – Whether Commissioner has discretion may be decided by court – East African</w:t>
      </w:r>
      <w:r w:rsidR="0022531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Income Tax Management Act </w:t>
      </w:r>
      <w:r>
        <w:rPr>
          <w:rFonts w:ascii="Times New Roman" w:hAnsi="Times New Roman" w:cs="Times New Roman"/>
          <w:color w:val="000000"/>
        </w:rPr>
        <w:t xml:space="preserve">1958,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141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225312" w:rsidRDefault="00225312" w:rsidP="00225312">
      <w:pPr>
        <w:spacing w:after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JUDGMENT </w:t>
      </w:r>
    </w:p>
    <w:p w:rsidR="00225312" w:rsidRDefault="00D96B6F" w:rsidP="00225312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Harris J: </w:t>
      </w:r>
      <w:r>
        <w:rPr>
          <w:rFonts w:ascii="Times New Roman" w:hAnsi="Times New Roman" w:cs="Times New Roman"/>
          <w:color w:val="000000"/>
        </w:rPr>
        <w:t>This is an appeal against an assessment to income tax for the year of income 1971, first on the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that the assessment was wrong and secondly on the ground that the respondent mistakenly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omitted to invoke his powers under s. 141 (1) of the East African Income Tax Management Act 1958 in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relation to the assessment, believing (as is alleged) that no such powers existed in the circumstances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him.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an assignment dated 11 September 1968 the appellant company purchased for the sum of £20,000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certain premises in the city of Nairobi known as L.R. 209/71/74 for the balance then subsisting of the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leasehold term of 99 years from 1 July 1902. The company, being minded to erect and operate a casino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premises, entered into an agreement with the Government of Kenya whereby the latter undertook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grant to the company an exclusive casino </w:t>
      </w:r>
      <w:proofErr w:type="spellStart"/>
      <w:r>
        <w:rPr>
          <w:rFonts w:ascii="Times New Roman" w:hAnsi="Times New Roman" w:cs="Times New Roman"/>
          <w:color w:val="000000"/>
        </w:rPr>
        <w:t>licence</w:t>
      </w:r>
      <w:proofErr w:type="spellEnd"/>
      <w:r>
        <w:rPr>
          <w:rFonts w:ascii="Times New Roman" w:hAnsi="Times New Roman" w:cs="Times New Roman"/>
          <w:color w:val="000000"/>
        </w:rPr>
        <w:t xml:space="preserve"> for Nairobi and a similar </w:t>
      </w:r>
      <w:proofErr w:type="spellStart"/>
      <w:r>
        <w:rPr>
          <w:rFonts w:ascii="Times New Roman" w:hAnsi="Times New Roman" w:cs="Times New Roman"/>
          <w:color w:val="000000"/>
        </w:rPr>
        <w:t>licence</w:t>
      </w:r>
      <w:proofErr w:type="spellEnd"/>
      <w:r>
        <w:rPr>
          <w:rFonts w:ascii="Times New Roman" w:hAnsi="Times New Roman" w:cs="Times New Roman"/>
          <w:color w:val="000000"/>
        </w:rPr>
        <w:t xml:space="preserve"> for Mombasa at an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inclusive annual fee of £500, both </w:t>
      </w:r>
      <w:proofErr w:type="spellStart"/>
      <w:r>
        <w:rPr>
          <w:rFonts w:ascii="Times New Roman" w:hAnsi="Times New Roman" w:cs="Times New Roman"/>
          <w:color w:val="000000"/>
        </w:rPr>
        <w:t>licences</w:t>
      </w:r>
      <w:proofErr w:type="spellEnd"/>
      <w:r>
        <w:rPr>
          <w:rFonts w:ascii="Times New Roman" w:hAnsi="Times New Roman" w:cs="Times New Roman"/>
          <w:color w:val="000000"/>
        </w:rPr>
        <w:t xml:space="preserve"> to be valid for a period of 15 years from 7 June 1968, and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undertook also not to issue any other casino </w:t>
      </w:r>
      <w:proofErr w:type="spellStart"/>
      <w:r>
        <w:rPr>
          <w:rFonts w:ascii="Times New Roman" w:hAnsi="Times New Roman" w:cs="Times New Roman"/>
          <w:color w:val="000000"/>
        </w:rPr>
        <w:t>licences</w:t>
      </w:r>
      <w:proofErr w:type="spellEnd"/>
      <w:r>
        <w:rPr>
          <w:rFonts w:ascii="Times New Roman" w:hAnsi="Times New Roman" w:cs="Times New Roman"/>
          <w:color w:val="000000"/>
        </w:rPr>
        <w:t xml:space="preserve"> in Kenya during that period.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company for its part undertook to organise and manage the two casinos and for this purpose to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secure suitable premises in Mombasa and to surrender to the Government at the expiration of the 15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years the land and buildings of both casinos free of encumbrances together with the casino </w:t>
      </w:r>
      <w:proofErr w:type="spellStart"/>
      <w:r>
        <w:rPr>
          <w:rFonts w:ascii="Times New Roman" w:hAnsi="Times New Roman" w:cs="Times New Roman"/>
          <w:color w:val="000000"/>
        </w:rPr>
        <w:t>licences</w:t>
      </w:r>
      <w:proofErr w:type="spellEnd"/>
      <w:r>
        <w:rPr>
          <w:rFonts w:ascii="Times New Roman" w:hAnsi="Times New Roman" w:cs="Times New Roman"/>
          <w:color w:val="000000"/>
        </w:rPr>
        <w:t>, and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Government, expressly in consideration of this surrender, undertook to grant to the company the right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import free of duty the equipment and materials necessary for the construction of the buildings and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to grant a “quota of immigration” into Kenya of up to eighty expatriate personnel necessary for the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efficient running of the casinos. The agreement further provided that if at the expiration of the period of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15 years the Government should wish to grant </w:t>
      </w:r>
      <w:proofErr w:type="spellStart"/>
      <w:r>
        <w:rPr>
          <w:rFonts w:ascii="Times New Roman" w:hAnsi="Times New Roman" w:cs="Times New Roman"/>
          <w:color w:val="000000"/>
        </w:rPr>
        <w:t>licences</w:t>
      </w:r>
      <w:proofErr w:type="spellEnd"/>
      <w:r>
        <w:rPr>
          <w:rFonts w:ascii="Times New Roman" w:hAnsi="Times New Roman" w:cs="Times New Roman"/>
          <w:color w:val="000000"/>
        </w:rPr>
        <w:t xml:space="preserve"> for the said two casinos so to be surrendered to it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the company the latter should have an option to acquire such </w:t>
      </w:r>
      <w:proofErr w:type="spellStart"/>
      <w:r>
        <w:rPr>
          <w:rFonts w:ascii="Times New Roman" w:hAnsi="Times New Roman" w:cs="Times New Roman"/>
          <w:color w:val="000000"/>
        </w:rPr>
        <w:t>licences</w:t>
      </w:r>
      <w:proofErr w:type="spellEnd"/>
      <w:r>
        <w:rPr>
          <w:rFonts w:ascii="Times New Roman" w:hAnsi="Times New Roman" w:cs="Times New Roman"/>
          <w:color w:val="000000"/>
        </w:rPr>
        <w:t xml:space="preserve"> on terms to be then arranged.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 evidence was led as to the actual granting of the </w:t>
      </w:r>
      <w:proofErr w:type="spellStart"/>
      <w:r>
        <w:rPr>
          <w:rFonts w:ascii="Times New Roman" w:hAnsi="Times New Roman" w:cs="Times New Roman"/>
          <w:color w:val="000000"/>
        </w:rPr>
        <w:t>licences</w:t>
      </w:r>
      <w:proofErr w:type="spellEnd"/>
      <w:r>
        <w:rPr>
          <w:rFonts w:ascii="Times New Roman" w:hAnsi="Times New Roman" w:cs="Times New Roman"/>
          <w:color w:val="000000"/>
        </w:rPr>
        <w:t xml:space="preserve"> and the hearing proceeded on the footing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valid </w:t>
      </w:r>
      <w:proofErr w:type="spellStart"/>
      <w:r>
        <w:rPr>
          <w:rFonts w:ascii="Times New Roman" w:hAnsi="Times New Roman" w:cs="Times New Roman"/>
          <w:color w:val="000000"/>
        </w:rPr>
        <w:t>licences</w:t>
      </w:r>
      <w:proofErr w:type="spellEnd"/>
      <w:r>
        <w:rPr>
          <w:rFonts w:ascii="Times New Roman" w:hAnsi="Times New Roman" w:cs="Times New Roman"/>
          <w:color w:val="000000"/>
        </w:rPr>
        <w:t xml:space="preserve"> had in fact been issued and remained in force.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company’s accounts for the year to 31 March 1970 show that the capital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outlay incurred to that date in the acquisition of fixed assets amounted to £221,448 made up of the cost of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land (including stamp duty, fees and expenses) £20,468 and the cost of buildings £200,979. These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figures were not challenged and I accept them.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first ground of appeal as pleaded in the memorandum of appeal is that the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982,744/-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assessed as tax is excessive and should have been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240,544/-, the error arising from the respondent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failed to take into account the company’s claims in respect of land and buildings as follows: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Year to 31.3.1970 (forming part of loss carried forward to 1971) .................. £14,737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(ii) Year to 31.3.1971 (forming part of loss carried forward to 1972) .................. £15,331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Total amount in dispute up to 31.3.1971 ........................................................ £30,068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memorandum of appeal does not indicate why the company’s claims should have been taken into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 or disclose the manner in which the assessment is alleged to have been erroneous and had the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applied to have this ground of appeal struck out as embarrassing such an application would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had to be seriously considered. In the course of the hearing, however, counsel for the company was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able to clarify the position but it is desirable that attention be paid in these matters to r. 4 of the Income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Tax (Appeal to </w:t>
      </w:r>
      <w:r>
        <w:rPr>
          <w:rFonts w:ascii="Times New Roman" w:hAnsi="Times New Roman" w:cs="Times New Roman"/>
          <w:color w:val="000000"/>
        </w:rPr>
        <w:lastRenderedPageBreak/>
        <w:t>the Kenya High Court) Rules which provides that the memorandum itself should set forth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grounds of appeal concisely and under distinct heads.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conceded that the cost of the land and buildings did not fall within the Second Schedule to the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and the company’s case on the first ground of the appeal is that it is entitled to an allowance or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deduction in respect of this sum of £221,448 in view of the fact that:</w:t>
      </w:r>
      <w:r w:rsidR="00225312">
        <w:rPr>
          <w:rFonts w:ascii="Times New Roman" w:hAnsi="Times New Roman" w:cs="Times New Roman"/>
          <w:color w:val="000000"/>
        </w:rPr>
        <w:t xml:space="preserve"> </w:t>
      </w:r>
    </w:p>
    <w:p w:rsidR="00225312" w:rsidRDefault="00D96B6F" w:rsidP="0022531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by virtue of the agreement of 7 June 1968 the company will be required to surrender to the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Government without compensation its buildings, land and equipment at the expiration of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licence</w:t>
      </w:r>
      <w:proofErr w:type="spellEnd"/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period of 15 years;</w:t>
      </w:r>
    </w:p>
    <w:p w:rsidR="00225312" w:rsidRDefault="00D96B6F" w:rsidP="0022531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reason of the same agreement the company is precluded from disposing of or charging those assets;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225312" w:rsidRDefault="00D96B6F" w:rsidP="00225312">
      <w:pPr>
        <w:spacing w:after="0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company has no prospect of enjoying the possibility of a capital appreciation of such assets at the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expiration of that period.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 for the company contends that a payment made for the erection of a building or the purchase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land need not necessarily be looked upon as capital expenditure, and that the surrounding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circumstances, including the purpose of the transaction, must be taken into account. In the present case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sole purpose, he says, was the earning of an income, and that the purchase of the land, the erection of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buildings and the acquisition of the casino </w:t>
      </w:r>
      <w:proofErr w:type="spellStart"/>
      <w:r>
        <w:rPr>
          <w:rFonts w:ascii="Times New Roman" w:hAnsi="Times New Roman" w:cs="Times New Roman"/>
          <w:color w:val="000000"/>
        </w:rPr>
        <w:t>licences</w:t>
      </w:r>
      <w:proofErr w:type="spellEnd"/>
      <w:r>
        <w:rPr>
          <w:rFonts w:ascii="Times New Roman" w:hAnsi="Times New Roman" w:cs="Times New Roman"/>
          <w:color w:val="000000"/>
        </w:rPr>
        <w:t xml:space="preserve"> were all one transaction. Relying on the judgment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Sir Kenneth O’Connor, P.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Ralli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Estates v. Income Tax</w:t>
      </w:r>
      <w:r>
        <w:rPr>
          <w:rFonts w:ascii="Times New Roman" w:hAnsi="Times New Roman" w:cs="Times New Roman"/>
          <w:color w:val="000000"/>
        </w:rPr>
        <w:t>, [1958] E.A. 165 at p. 175 he submits that the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must look at both the form and the substance of the matter and that, although normally land and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buildings constitute a capital asset and must be treated as such, in the present case the expenditure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involved did not create such an asset for the agreement with the Government, under which the company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compelled to acquire the land and erect the buildings, was the price the company had to pay for the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licences</w:t>
      </w:r>
      <w:proofErr w:type="spellEnd"/>
      <w:r>
        <w:rPr>
          <w:rFonts w:ascii="Times New Roman" w:hAnsi="Times New Roman" w:cs="Times New Roman"/>
          <w:color w:val="000000"/>
        </w:rPr>
        <w:t xml:space="preserve"> without which there would have been o income. Furthermore, he argues, had it not been for the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with Government requiring the company to acquire the land and erect the buildings suitable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premises could have been rented and the rent claimed as an expense and little or no capital outlay at all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have been involved.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support of these contentions Mr.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 refers to a number of decisions which it is necessary to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consider. In </w:t>
      </w:r>
      <w:r>
        <w:rPr>
          <w:rFonts w:ascii="Times New Roman" w:hAnsi="Times New Roman" w:cs="Times New Roman"/>
          <w:i/>
          <w:iCs/>
          <w:color w:val="000000"/>
        </w:rPr>
        <w:t>Racecourse Betting Control Board v. Wild</w:t>
      </w:r>
      <w:r>
        <w:rPr>
          <w:rFonts w:ascii="Times New Roman" w:hAnsi="Times New Roman" w:cs="Times New Roman"/>
          <w:color w:val="000000"/>
        </w:rPr>
        <w:t>, 22 T.C. 182, it was held that an annual sum fixed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a percentage of the cost of construction of certain buildings to be erected by a racecourse company and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payable to that company by the board in consideration of the grant to the board of the exclusive right of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user for a certain period of the buildings when erected and which, by a declaration not purporting to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confer rights or obligations upon either party, was stated also to be in repayment of yearly instalments of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capital cost of construction of the buildings, constituted a revenue payment by the board and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deductible for tax purposes. That case is clearly distinguishable from the present for there the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expenditure on the buildings was being incurred not by the taxpayer board but by the company and the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board itself was not acquiring a capital asset.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is no doubt that, as was said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Mallaby-Deeley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Commissioner of Inland Revenue</w:t>
      </w:r>
      <w:r>
        <w:rPr>
          <w:rFonts w:ascii="Times New Roman" w:hAnsi="Times New Roman" w:cs="Times New Roman"/>
          <w:color w:val="000000"/>
        </w:rPr>
        <w:t>, 23 T.C.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153, at p. 166, upon which Mr.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 also relies, the distinction which is to be drawn for the purpose of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Income Tax Acts between payments of an income nature and payments of a capital nature is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sometimes a very fine and rather artificial one and depends upon the precise character of the transaction.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present case, however, I do not regard the distinction as being so very fine or in any way artificial.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Lord Denning said in delivering the advice of the Judicial Committee of the Privy Council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Ralli</w:t>
      </w:r>
      <w:proofErr w:type="spellEnd"/>
      <w:r w:rsidR="0022531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Estates v. Income Tax</w:t>
      </w:r>
      <w:r>
        <w:rPr>
          <w:rFonts w:ascii="Times New Roman" w:hAnsi="Times New Roman" w:cs="Times New Roman"/>
          <w:color w:val="000000"/>
        </w:rPr>
        <w:t>, [1961] E.A. 48, at p. 51, the court is entitled to look at the course of negotiations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leading up to the agreement between the parties out of which the issue before it arises and in my opinion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answer to Mr. </w:t>
      </w:r>
      <w:proofErr w:type="spellStart"/>
      <w:r>
        <w:rPr>
          <w:rFonts w:ascii="Times New Roman" w:hAnsi="Times New Roman" w:cs="Times New Roman"/>
          <w:color w:val="000000"/>
        </w:rPr>
        <w:t>Lakha’s</w:t>
      </w:r>
      <w:proofErr w:type="spellEnd"/>
      <w:r>
        <w:rPr>
          <w:rFonts w:ascii="Times New Roman" w:hAnsi="Times New Roman" w:cs="Times New Roman"/>
          <w:color w:val="000000"/>
        </w:rPr>
        <w:t xml:space="preserve"> argument is to be found in the facts that, in the first place, the company was in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 sense “compelled” to agree to surrender the premises to the Government at the end of the </w:t>
      </w:r>
      <w:proofErr w:type="spellStart"/>
      <w:r>
        <w:rPr>
          <w:rFonts w:ascii="Times New Roman" w:hAnsi="Times New Roman" w:cs="Times New Roman"/>
          <w:color w:val="000000"/>
        </w:rPr>
        <w:t>licence</w:t>
      </w:r>
      <w:proofErr w:type="spellEnd"/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period for the entire transaction was purely voluntary and the undertaking to surrender the buildings was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given expressly in consideration of the Government’s permission to allow the import of equipment free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duty and the entry into Kenya of expatriate staff; secondly, that the first recorded step in the matter, so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far as is disclosed by the evidence, was the passing on 4 June 1968 of a resolution of the board of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directors of the company </w:t>
      </w:r>
      <w:proofErr w:type="spellStart"/>
      <w:r>
        <w:rPr>
          <w:rFonts w:ascii="Times New Roman" w:hAnsi="Times New Roman" w:cs="Times New Roman"/>
          <w:color w:val="000000"/>
        </w:rPr>
        <w:t>authorising</w:t>
      </w:r>
      <w:proofErr w:type="spellEnd"/>
      <w:r>
        <w:rPr>
          <w:rFonts w:ascii="Times New Roman" w:hAnsi="Times New Roman" w:cs="Times New Roman"/>
          <w:color w:val="000000"/>
        </w:rPr>
        <w:t xml:space="preserve"> the acceptance from the Government of an offer to grant a casino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licence</w:t>
      </w:r>
      <w:proofErr w:type="spellEnd"/>
      <w:r>
        <w:rPr>
          <w:rFonts w:ascii="Times New Roman" w:hAnsi="Times New Roman" w:cs="Times New Roman"/>
          <w:color w:val="000000"/>
        </w:rPr>
        <w:t xml:space="preserve"> on the terms set out in the agreement (including the provision for the surrender of the premises on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expiration of the </w:t>
      </w:r>
      <w:proofErr w:type="spellStart"/>
      <w:r>
        <w:rPr>
          <w:rFonts w:ascii="Times New Roman" w:hAnsi="Times New Roman" w:cs="Times New Roman"/>
          <w:color w:val="000000"/>
        </w:rPr>
        <w:t>licence</w:t>
      </w:r>
      <w:proofErr w:type="spellEnd"/>
      <w:r>
        <w:rPr>
          <w:rFonts w:ascii="Times New Roman" w:hAnsi="Times New Roman" w:cs="Times New Roman"/>
          <w:color w:val="000000"/>
        </w:rPr>
        <w:t xml:space="preserve">) so </w:t>
      </w:r>
      <w:r>
        <w:rPr>
          <w:rFonts w:ascii="Times New Roman" w:hAnsi="Times New Roman" w:cs="Times New Roman"/>
          <w:color w:val="000000"/>
        </w:rPr>
        <w:lastRenderedPageBreak/>
        <w:t>that the entire project was initiated by the company rather than by the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Government; and thirdly that it is hardly conceivable that the company, when it entered into this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commercial bargain, was unaware of the implications of the fact upon which it now seeks to rely,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namely, that the land so to be acquired and the buildings so to be erected would cease to constitute a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capital asset of the company after the expiration of the </w:t>
      </w:r>
      <w:proofErr w:type="spellStart"/>
      <w:r>
        <w:rPr>
          <w:rFonts w:ascii="Times New Roman" w:hAnsi="Times New Roman" w:cs="Times New Roman"/>
          <w:color w:val="000000"/>
        </w:rPr>
        <w:t>licence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view is, I think, consistent with the illustration given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Ralli’s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case, at pp. 52 – 3 where Lord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Denning said: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“Their Lordships prefer therefore to turn back to the words of the Act and ask whether the payments were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expenses wholly and exclusively incurred ‘in the production of the income’ of the payer: and this means that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you must look at the purpose of the payments. Were they paid in order to acquire a capital asset?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a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capital purpose? If so, they are capital expenditure. But if for an income purpose, they are revenue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expenditure. For instance, if a price is paid for freehold land, or a premium (properly so called) is paid for a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long lease, it is not an expense incurred in the production of income, but in the production of capital. It is not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deductible as revenue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expenditure, no matter whether the price or premium is paid by a lump sum or by instalments. And this is true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even when the lease is of a wasting asset, such as a coal mine, see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Mallett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v. Staveley Coal and Iron Co.</w:t>
      </w:r>
      <w:r w:rsidR="00225312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(1928) 13 T.C. 772, at p. 778, by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Rowlatt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J. Again, if a manufacturer expends money on machinery or plant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is used again in his manufacturing operations, it is capital expenditure, and is not deductible in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assessing his income, no matter whether he pays for it cash down or any instalments. But if a trader pays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money for trading stock which he means to sell to customers as soon as he can, it is an expense incurred in the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production of income, no matter whether it is paid in a lump sum or by instalments: and it is deductible.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Likewise with a rent, properly so called, which is paid for a lease out of which the lessee gets an income. It is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revenue expenditure and deductible.”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Here the agreement for the surrender of the company’s asset was part of the cost of acquisition of the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equipment and materials and the importation (as distinct from the wages) of staff. Admittedly, as Mr.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 said, it might not have been necessary in the present case for the company to have purchased the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 for possibly it could have secured a suitable plot on a rental basis. In this event, however, although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rent would clearly constitute an allowable deduction, the claim now put forward for a deduction in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 of the purchase price would not have arisen.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Reverting to the language of the Act, the loss of its capital investment by the company in 15 years will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constitute, in my opinion, a “loss, diminution or exhaustion of capital” within the meaning of s. 14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will not be saved by the provisions of either subsections (2), (3), or (5) of s. 13. Mr.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 relies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upon s. 13 (1) of the Act and the general principles relative to the ascertainment of total income under the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that section but these in turn are themselves subject to s. 14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).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these reasons I must hold that the first ground of appeal fails.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Turning now to the second ground of appeal it appears that in a letter dated 9 May 1972 addressed to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company and upon which this ground of appeal is based, the respondent wrote: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refer to your visit to my office to explain your company’s problems in connection with the claim to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depreciation allowances on its land and buildings. At the meeting you explained that in accordance with an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agreement entered into between your Company and the Kenya Government the buildings and the land will be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handed over to the Kenya Government after a fifteen year period and in view of the considerable financial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outlay on these items you were requesting the Commissioner-General to invoke his powers under section 141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grant special depreciation allowance so that when the time comes for your Company to relinquish the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assets you will have recouped the above outlays. At that meeting I did explain that the powers given to the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Commissioner-General under section 141 only cover two aspects namely not to assess and not to collect tax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where equity would be gravely violated. His powers do not cover granting of any allowances. I have now duly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consulted the Commissioner-General and he agrees with me that the problem is a special one and it is not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covered by the powers given to him under section 141.”</w:t>
      </w:r>
      <w:r w:rsidR="0022531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Sub-ss. (1) and (3) of s. 141 of the Act are as follows:</w:t>
      </w:r>
    </w:p>
    <w:p w:rsidR="00225312" w:rsidRDefault="00225312" w:rsidP="00225312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D96B6F">
        <w:rPr>
          <w:rFonts w:ascii="Times New Roman" w:hAnsi="Times New Roman" w:cs="Times New Roman"/>
          <w:color w:val="000000"/>
          <w:sz w:val="20"/>
          <w:szCs w:val="20"/>
        </w:rPr>
        <w:t>“(1) Notwithstanding the provisions of this Act, in any case where he is of the opinion that he should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96B6F">
        <w:rPr>
          <w:rFonts w:ascii="Times New Roman" w:hAnsi="Times New Roman" w:cs="Times New Roman"/>
          <w:color w:val="000000"/>
          <w:sz w:val="20"/>
          <w:szCs w:val="20"/>
        </w:rPr>
        <w:t>refrain from assessing to tax, or recovering tax from, any person by reason of</w:t>
      </w:r>
      <w:r>
        <w:rPr>
          <w:rFonts w:ascii="Times New Roman" w:hAnsi="Times New Roman" w:cs="Times New Roman"/>
          <w:color w:val="000080"/>
        </w:rPr>
        <w:t xml:space="preserve"> </w:t>
      </w:r>
      <w:r w:rsidR="00D96B6F"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 w:rsidR="00D96B6F"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 w:rsidR="00D96B6F">
        <w:rPr>
          <w:rFonts w:ascii="Times New Roman" w:hAnsi="Times New Roman" w:cs="Times New Roman"/>
          <w:color w:val="000000"/>
          <w:sz w:val="20"/>
          <w:szCs w:val="20"/>
        </w:rPr>
        <w:t xml:space="preserve">) u </w:t>
      </w:r>
      <w:proofErr w:type="spellStart"/>
      <w:r w:rsidR="00D96B6F">
        <w:rPr>
          <w:rFonts w:ascii="Times New Roman" w:hAnsi="Times New Roman" w:cs="Times New Roman"/>
          <w:color w:val="000000"/>
          <w:sz w:val="20"/>
          <w:szCs w:val="20"/>
        </w:rPr>
        <w:t>ncertainty</w:t>
      </w:r>
      <w:proofErr w:type="spellEnd"/>
      <w:r w:rsidR="00D96B6F">
        <w:rPr>
          <w:rFonts w:ascii="Times New Roman" w:hAnsi="Times New Roman" w:cs="Times New Roman"/>
          <w:color w:val="000000"/>
          <w:sz w:val="20"/>
          <w:szCs w:val="20"/>
        </w:rPr>
        <w:t xml:space="preserve"> as to any question of law or fact; or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96B6F"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 w:rsidR="00D96B6F"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 w:rsidR="00D96B6F">
        <w:rPr>
          <w:rFonts w:ascii="Times New Roman" w:hAnsi="Times New Roman" w:cs="Times New Roman"/>
          <w:color w:val="000000"/>
          <w:sz w:val="20"/>
          <w:szCs w:val="20"/>
        </w:rPr>
        <w:t xml:space="preserve">) c </w:t>
      </w:r>
      <w:proofErr w:type="spellStart"/>
      <w:r w:rsidR="00D96B6F">
        <w:rPr>
          <w:rFonts w:ascii="Times New Roman" w:hAnsi="Times New Roman" w:cs="Times New Roman"/>
          <w:color w:val="000000"/>
          <w:sz w:val="20"/>
          <w:szCs w:val="20"/>
        </w:rPr>
        <w:t>onsiderations</w:t>
      </w:r>
      <w:proofErr w:type="spellEnd"/>
      <w:r w:rsidR="00D96B6F">
        <w:rPr>
          <w:rFonts w:ascii="Times New Roman" w:hAnsi="Times New Roman" w:cs="Times New Roman"/>
          <w:color w:val="000000"/>
          <w:sz w:val="20"/>
          <w:szCs w:val="20"/>
        </w:rPr>
        <w:t xml:space="preserve"> of hardship or equity; or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96B6F"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 w:rsidR="00D96B6F"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 w:rsidR="00D96B6F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r w:rsidR="00D96B6F">
        <w:rPr>
          <w:rFonts w:ascii="Times New Roman" w:hAnsi="Times New Roman" w:cs="Times New Roman"/>
          <w:color w:val="000000"/>
          <w:sz w:val="20"/>
          <w:szCs w:val="20"/>
        </w:rPr>
        <w:t>mpossibility, or undue difficulty or expense, of recovery of tax,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96B6F">
        <w:rPr>
          <w:rFonts w:ascii="Times New Roman" w:hAnsi="Times New Roman" w:cs="Times New Roman"/>
          <w:color w:val="000000"/>
          <w:sz w:val="20"/>
          <w:szCs w:val="20"/>
        </w:rPr>
        <w:t>the Commissioner-General may, in his discretion, and subject to this section, elect to refrain from assessing or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96B6F">
        <w:rPr>
          <w:rFonts w:ascii="Times New Roman" w:hAnsi="Times New Roman" w:cs="Times New Roman"/>
          <w:color w:val="000000"/>
          <w:sz w:val="20"/>
          <w:szCs w:val="20"/>
        </w:rPr>
        <w:t>recovering the tax in question and thereupon liability to such tax shall be deemed to be extinguished or such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96B6F">
        <w:rPr>
          <w:rFonts w:ascii="Times New Roman" w:hAnsi="Times New Roman" w:cs="Times New Roman"/>
          <w:color w:val="000000"/>
          <w:sz w:val="20"/>
          <w:szCs w:val="20"/>
        </w:rPr>
        <w:t>tax shall be deemed to be abandoned or remitted, as the case may be, and the provisions of this Act other than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96B6F">
        <w:rPr>
          <w:rFonts w:ascii="Times New Roman" w:hAnsi="Times New Roman" w:cs="Times New Roman"/>
          <w:color w:val="000000"/>
          <w:sz w:val="20"/>
          <w:szCs w:val="20"/>
        </w:rPr>
        <w:t>this section shall no longer apply thereto.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96B6F">
        <w:rPr>
          <w:rFonts w:ascii="Times New Roman" w:hAnsi="Times New Roman" w:cs="Times New Roman"/>
          <w:color w:val="000000"/>
          <w:sz w:val="20"/>
          <w:szCs w:val="20"/>
        </w:rPr>
        <w:t>(3) No proceedings shall lie in any court to inquire into the refusal or failure of the Commissioner-General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96B6F">
        <w:rPr>
          <w:rFonts w:ascii="Times New Roman" w:hAnsi="Times New Roman" w:cs="Times New Roman"/>
          <w:color w:val="000000"/>
          <w:sz w:val="20"/>
          <w:szCs w:val="20"/>
        </w:rPr>
        <w:t>to elect to refrain from assessing or recovering tax under subsection (1).”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96B6F">
        <w:rPr>
          <w:rFonts w:ascii="Times New Roman" w:hAnsi="Times New Roman" w:cs="Times New Roman"/>
          <w:color w:val="000000"/>
        </w:rPr>
        <w:t xml:space="preserve">Before </w:t>
      </w:r>
      <w:r w:rsidR="00D96B6F">
        <w:rPr>
          <w:rFonts w:ascii="Times New Roman" w:hAnsi="Times New Roman" w:cs="Times New Roman"/>
          <w:color w:val="000000"/>
        </w:rPr>
        <w:lastRenderedPageBreak/>
        <w:t>dealing with the company’s submissions on this aspect of the case it is necessary to consider a</w:t>
      </w:r>
      <w:r>
        <w:rPr>
          <w:rFonts w:ascii="Times New Roman" w:hAnsi="Times New Roman" w:cs="Times New Roman"/>
          <w:color w:val="000000"/>
        </w:rPr>
        <w:t xml:space="preserve"> </w:t>
      </w:r>
      <w:r w:rsidR="00D96B6F">
        <w:rPr>
          <w:rFonts w:ascii="Times New Roman" w:hAnsi="Times New Roman" w:cs="Times New Roman"/>
          <w:color w:val="000000"/>
        </w:rPr>
        <w:t>preliminary objection taken by the respondent to this ground of appeal. This is shortly to the effect that</w:t>
      </w:r>
      <w:r>
        <w:rPr>
          <w:rFonts w:ascii="Times New Roman" w:hAnsi="Times New Roman" w:cs="Times New Roman"/>
          <w:color w:val="000000"/>
        </w:rPr>
        <w:t xml:space="preserve"> </w:t>
      </w:r>
      <w:r w:rsidR="00D96B6F">
        <w:rPr>
          <w:rFonts w:ascii="Times New Roman" w:hAnsi="Times New Roman" w:cs="Times New Roman"/>
          <w:color w:val="000000"/>
        </w:rPr>
        <w:t>the court has no jurisdiction to enquire into a refusal by the respondent to do otherwise than confirm the</w:t>
      </w:r>
      <w:r>
        <w:rPr>
          <w:rFonts w:ascii="Times New Roman" w:hAnsi="Times New Roman" w:cs="Times New Roman"/>
          <w:color w:val="000000"/>
        </w:rPr>
        <w:t xml:space="preserve"> </w:t>
      </w:r>
      <w:r w:rsidR="00D96B6F">
        <w:rPr>
          <w:rFonts w:ascii="Times New Roman" w:hAnsi="Times New Roman" w:cs="Times New Roman"/>
          <w:color w:val="000000"/>
        </w:rPr>
        <w:t>assessment, and reliance is placed on s. 141 (3). The company in reply claims that the refusal was based</w:t>
      </w:r>
      <w:r>
        <w:rPr>
          <w:rFonts w:ascii="Times New Roman" w:hAnsi="Times New Roman" w:cs="Times New Roman"/>
          <w:color w:val="000000"/>
        </w:rPr>
        <w:t xml:space="preserve"> </w:t>
      </w:r>
      <w:r w:rsidR="00D96B6F">
        <w:rPr>
          <w:rFonts w:ascii="Times New Roman" w:hAnsi="Times New Roman" w:cs="Times New Roman"/>
          <w:color w:val="000000"/>
        </w:rPr>
        <w:t>on the respondent’s mistakenly believing that he had no power to amend the assessment, that in so</w:t>
      </w:r>
      <w:r>
        <w:rPr>
          <w:rFonts w:ascii="Times New Roman" w:hAnsi="Times New Roman" w:cs="Times New Roman"/>
          <w:color w:val="000000"/>
        </w:rPr>
        <w:t xml:space="preserve"> </w:t>
      </w:r>
      <w:r w:rsidR="00D96B6F">
        <w:rPr>
          <w:rFonts w:ascii="Times New Roman" w:hAnsi="Times New Roman" w:cs="Times New Roman"/>
          <w:color w:val="000000"/>
        </w:rPr>
        <w:t>believing the respondent erred in law, and that the company is not precluded by s. 141 (3) from</w:t>
      </w:r>
      <w:r>
        <w:rPr>
          <w:rFonts w:ascii="Times New Roman" w:hAnsi="Times New Roman" w:cs="Times New Roman"/>
          <w:color w:val="000000"/>
        </w:rPr>
        <w:t xml:space="preserve"> </w:t>
      </w:r>
      <w:r w:rsidR="00D96B6F">
        <w:rPr>
          <w:rFonts w:ascii="Times New Roman" w:hAnsi="Times New Roman" w:cs="Times New Roman"/>
          <w:color w:val="000000"/>
        </w:rPr>
        <w:t>challenging the refusal.</w:t>
      </w:r>
      <w:r>
        <w:rPr>
          <w:rFonts w:ascii="Times New Roman" w:hAnsi="Times New Roman" w:cs="Times New Roman"/>
          <w:color w:val="000000"/>
        </w:rPr>
        <w:t xml:space="preserve"> </w:t>
      </w:r>
      <w:r w:rsidR="00D96B6F">
        <w:rPr>
          <w:rFonts w:ascii="Times New Roman" w:hAnsi="Times New Roman" w:cs="Times New Roman"/>
          <w:color w:val="000000"/>
        </w:rPr>
        <w:t>Being a taxing statute the Act must receive a reasonably strict construction and I read s. 141 (3) as</w:t>
      </w:r>
      <w:r>
        <w:rPr>
          <w:rFonts w:ascii="Times New Roman" w:hAnsi="Times New Roman" w:cs="Times New Roman"/>
          <w:color w:val="000000"/>
        </w:rPr>
        <w:t xml:space="preserve"> </w:t>
      </w:r>
      <w:r w:rsidR="00D96B6F">
        <w:rPr>
          <w:rFonts w:ascii="Times New Roman" w:hAnsi="Times New Roman" w:cs="Times New Roman"/>
          <w:color w:val="000000"/>
        </w:rPr>
        <w:t xml:space="preserve">meaning that no proceedings shall lie to inquire into the refusal or failure of the respondent </w:t>
      </w:r>
      <w:r w:rsidR="00D96B6F">
        <w:rPr>
          <w:rFonts w:ascii="Times New Roman" w:hAnsi="Times New Roman" w:cs="Times New Roman"/>
          <w:i/>
          <w:iCs/>
          <w:color w:val="000000"/>
        </w:rPr>
        <w:t xml:space="preserve">to elect </w:t>
      </w:r>
      <w:r w:rsidR="00D96B6F">
        <w:rPr>
          <w:rFonts w:ascii="Times New Roman" w:hAnsi="Times New Roman" w:cs="Times New Roman"/>
          <w:color w:val="000000"/>
        </w:rPr>
        <w:t>to</w:t>
      </w:r>
      <w:r>
        <w:rPr>
          <w:rFonts w:ascii="Times New Roman" w:hAnsi="Times New Roman" w:cs="Times New Roman"/>
          <w:color w:val="000000"/>
        </w:rPr>
        <w:t xml:space="preserve"> </w:t>
      </w:r>
      <w:r w:rsidR="00D96B6F">
        <w:rPr>
          <w:rFonts w:ascii="Times New Roman" w:hAnsi="Times New Roman" w:cs="Times New Roman"/>
          <w:color w:val="000000"/>
        </w:rPr>
        <w:t>refrain from assessing or recovering tax in the sense that the respondent, appreciating that he had a</w:t>
      </w:r>
      <w:r>
        <w:rPr>
          <w:rFonts w:ascii="Times New Roman" w:hAnsi="Times New Roman" w:cs="Times New Roman"/>
          <w:color w:val="000000"/>
        </w:rPr>
        <w:t xml:space="preserve"> </w:t>
      </w:r>
      <w:r w:rsidR="00D96B6F">
        <w:rPr>
          <w:rFonts w:ascii="Times New Roman" w:hAnsi="Times New Roman" w:cs="Times New Roman"/>
          <w:i/>
          <w:iCs/>
          <w:color w:val="000000"/>
        </w:rPr>
        <w:t xml:space="preserve">choice </w:t>
      </w:r>
      <w:r w:rsidR="00D96B6F">
        <w:rPr>
          <w:rFonts w:ascii="Times New Roman" w:hAnsi="Times New Roman" w:cs="Times New Roman"/>
          <w:color w:val="000000"/>
        </w:rPr>
        <w:t>of courses open to him, namely, that of refraining from assessing or recovering tax or of not so</w:t>
      </w:r>
      <w:r>
        <w:rPr>
          <w:rFonts w:ascii="Times New Roman" w:hAnsi="Times New Roman" w:cs="Times New Roman"/>
          <w:color w:val="000000"/>
        </w:rPr>
        <w:t xml:space="preserve"> </w:t>
      </w:r>
      <w:r w:rsidR="00D96B6F">
        <w:rPr>
          <w:rFonts w:ascii="Times New Roman" w:hAnsi="Times New Roman" w:cs="Times New Roman"/>
          <w:color w:val="000000"/>
        </w:rPr>
        <w:t>refraining, and that in the knowledge of this position he exercised his choice.</w:t>
      </w:r>
      <w:r>
        <w:rPr>
          <w:rFonts w:ascii="Times New Roman" w:hAnsi="Times New Roman" w:cs="Times New Roman"/>
          <w:color w:val="000000"/>
        </w:rPr>
        <w:t xml:space="preserve"> </w:t>
      </w:r>
      <w:r w:rsidR="00D96B6F">
        <w:rPr>
          <w:rFonts w:ascii="Times New Roman" w:hAnsi="Times New Roman" w:cs="Times New Roman"/>
          <w:color w:val="000000"/>
        </w:rPr>
        <w:t>I am satisfied from the language of the respondent’s letter of 9 May 1972 that he was under the</w:t>
      </w:r>
      <w:r>
        <w:rPr>
          <w:rFonts w:ascii="Times New Roman" w:hAnsi="Times New Roman" w:cs="Times New Roman"/>
          <w:color w:val="000000"/>
        </w:rPr>
        <w:t xml:space="preserve"> </w:t>
      </w:r>
      <w:r w:rsidR="00D96B6F">
        <w:rPr>
          <w:rFonts w:ascii="Times New Roman" w:hAnsi="Times New Roman" w:cs="Times New Roman"/>
          <w:color w:val="000000"/>
        </w:rPr>
        <w:t>impression (rightly, in my view) that the purpose of the company’s approach to him was to seek the</w:t>
      </w:r>
      <w:r>
        <w:rPr>
          <w:rFonts w:ascii="Times New Roman" w:hAnsi="Times New Roman" w:cs="Times New Roman"/>
          <w:color w:val="000000"/>
        </w:rPr>
        <w:t xml:space="preserve"> </w:t>
      </w:r>
      <w:r w:rsidR="00D96B6F">
        <w:rPr>
          <w:rFonts w:ascii="Times New Roman" w:hAnsi="Times New Roman" w:cs="Times New Roman"/>
          <w:color w:val="000000"/>
        </w:rPr>
        <w:t>granting by him of a depreciation allowance. Such a request, as he correctly pointed out, was outside the</w:t>
      </w:r>
      <w:r>
        <w:rPr>
          <w:rFonts w:ascii="Times New Roman" w:hAnsi="Times New Roman" w:cs="Times New Roman"/>
          <w:color w:val="000000"/>
        </w:rPr>
        <w:t xml:space="preserve"> </w:t>
      </w:r>
      <w:r w:rsidR="00D96B6F">
        <w:rPr>
          <w:rFonts w:ascii="Times New Roman" w:hAnsi="Times New Roman" w:cs="Times New Roman"/>
          <w:color w:val="000000"/>
        </w:rPr>
        <w:t>purview of s. 141 and must be refused, but I am satisfied that, so far as the letter may be taken fairly to</w:t>
      </w:r>
      <w:r>
        <w:rPr>
          <w:rFonts w:ascii="Times New Roman" w:hAnsi="Times New Roman" w:cs="Times New Roman"/>
          <w:color w:val="000000"/>
        </w:rPr>
        <w:t xml:space="preserve"> </w:t>
      </w:r>
      <w:r w:rsidR="00D96B6F">
        <w:rPr>
          <w:rFonts w:ascii="Times New Roman" w:hAnsi="Times New Roman" w:cs="Times New Roman"/>
          <w:color w:val="000000"/>
        </w:rPr>
        <w:t>indicate what was in the respondent’s mind at the material time, he did not address himself to the making</w:t>
      </w:r>
      <w:r>
        <w:rPr>
          <w:rFonts w:ascii="Times New Roman" w:hAnsi="Times New Roman" w:cs="Times New Roman"/>
          <w:color w:val="000000"/>
        </w:rPr>
        <w:t xml:space="preserve"> </w:t>
      </w:r>
      <w:r w:rsidR="00D96B6F">
        <w:rPr>
          <w:rFonts w:ascii="Times New Roman" w:hAnsi="Times New Roman" w:cs="Times New Roman"/>
          <w:color w:val="000000"/>
        </w:rPr>
        <w:t xml:space="preserve">of an election such as is contemplated by sub-s. </w:t>
      </w:r>
    </w:p>
    <w:p w:rsidR="00225312" w:rsidRDefault="00D96B6F" w:rsidP="00225312">
      <w:pPr>
        <w:spacing w:after="0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proofErr w:type="gramStart"/>
      <w:r>
        <w:rPr>
          <w:rFonts w:ascii="Times New Roman" w:hAnsi="Times New Roman" w:cs="Times New Roman"/>
          <w:color w:val="000000"/>
        </w:rPr>
        <w:t>so</w:t>
      </w:r>
      <w:proofErr w:type="gramEnd"/>
      <w:r>
        <w:rPr>
          <w:rFonts w:ascii="Times New Roman" w:hAnsi="Times New Roman" w:cs="Times New Roman"/>
          <w:color w:val="000000"/>
        </w:rPr>
        <w:t xml:space="preserve"> that his action would therefore be protected from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challenge by sub-s. (3).</w:t>
      </w:r>
      <w:r w:rsidR="00225312">
        <w:rPr>
          <w:rFonts w:ascii="Times New Roman" w:hAnsi="Times New Roman" w:cs="Times New Roman"/>
          <w:color w:val="000000"/>
        </w:rPr>
        <w:t xml:space="preserve"> for</w:t>
      </w:r>
      <w:r>
        <w:rPr>
          <w:rFonts w:ascii="Times New Roman" w:hAnsi="Times New Roman" w:cs="Times New Roman"/>
          <w:color w:val="000000"/>
        </w:rPr>
        <w:t xml:space="preserve"> these reasons I must hold that the preliminary objection fails.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to the issue raised by the second ground of appeal it follows from what I have said that s. 141 (1)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confers upon the respondent, in any case where he is of the opinion that he should refrain from assessing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tax or recovering tax from any person by reason of considerations of hardship or equity, a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discretionary power to elect to refrain from assessing or recovering the tax in question whereupon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liability to such tax shall be deemed to be extinguished, or such tax shall be deemed to be abandoned or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remitted, as the case may be.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Looking again at the respondent’s letter of 9 May 1972 it is manifest, in the absence of any suggestion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respondent misunderstood the request being made to him, that the company had requested him, in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 of his powers under s. 141, to grant what he refers to as a “special depreciation allowance” so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at the end of the end of the </w:t>
      </w:r>
      <w:proofErr w:type="spellStart"/>
      <w:r>
        <w:rPr>
          <w:rFonts w:ascii="Times New Roman" w:hAnsi="Times New Roman" w:cs="Times New Roman"/>
          <w:color w:val="000000"/>
        </w:rPr>
        <w:t>licence</w:t>
      </w:r>
      <w:proofErr w:type="spellEnd"/>
      <w:r>
        <w:rPr>
          <w:rFonts w:ascii="Times New Roman" w:hAnsi="Times New Roman" w:cs="Times New Roman"/>
          <w:color w:val="000000"/>
        </w:rPr>
        <w:t xml:space="preserve"> period the company would have recouped its expenditure on the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purchase of the land and the erection of the buildings. In answer to this request the respondent had no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option but to reject it for the section gives him no power to grant allowances for depreciation or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otherwise</w:t>
      </w:r>
      <w:r w:rsidR="00225312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or in any way to vary or reduce (as distinct from refraining from making) an assessment. As he rightly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 in his letter the only powers given to him under s. 141 are either not to assess or not to collect tax.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has no power under the section to reduce or vary an assessment whatever hardship may be involved.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these reasons I am satisfied that the respondent was not mistaken in his view that he had no power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grant the company’s request mentioned in the letter of 9 May 1972 and that the second ground of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must fail.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appeal is accordingly dismissed with costs.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Appeal dismissed</w:t>
      </w:r>
    </w:p>
    <w:p w:rsidR="003278A0" w:rsidRDefault="00D96B6F" w:rsidP="00225312">
      <w:pPr>
        <w:spacing w:after="0"/>
      </w:pPr>
      <w:r>
        <w:rPr>
          <w:rFonts w:ascii="Times New Roman" w:hAnsi="Times New Roman" w:cs="Times New Roman"/>
          <w:i/>
          <w:iCs/>
          <w:color w:val="000000"/>
        </w:rPr>
        <w:t>.</w:t>
      </w:r>
      <w:r w:rsidR="0022531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Lakha</w:t>
      </w:r>
      <w:proofErr w:type="spellEnd"/>
      <w:r w:rsidR="0022531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respondent:</w:t>
      </w:r>
      <w:r w:rsidR="002253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ASJ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Tibamanya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(Principal Assistant Counsel) and </w:t>
      </w:r>
      <w:r>
        <w:rPr>
          <w:rFonts w:ascii="Times New Roman" w:hAnsi="Times New Roman" w:cs="Times New Roman"/>
          <w:i/>
          <w:iCs/>
          <w:color w:val="000000"/>
        </w:rPr>
        <w:t xml:space="preserve">P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Mulira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(Assistant Counsel)</w:t>
      </w:r>
      <w:r w:rsidR="00225312">
        <w:t xml:space="preserve"> 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6F"/>
    <w:rsid w:val="00225312"/>
    <w:rsid w:val="003278A0"/>
    <w:rsid w:val="00D9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6C0F7-4DA3-45E0-9AC4-4268FA5D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2764</Words>
  <Characters>15759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2018-07-06T11:53:00Z</dcterms:created>
  <dcterms:modified xsi:type="dcterms:W3CDTF">2018-07-11T13:22:00Z</dcterms:modified>
</cp:coreProperties>
</file>