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Thabiti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Finance Company Limited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Abiero</w:t>
      </w:r>
      <w:proofErr w:type="spellEnd"/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March 2004</w:t>
      </w:r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251/01</w:t>
      </w:r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45AE4" w:rsidRDefault="00A45AE4" w:rsidP="00135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 – General and special damages – Fraudulent exercise of statutory power of sale – Loss of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purchase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price – Whether lost purchase price constitutes general damages.</w:t>
      </w:r>
    </w:p>
    <w:p w:rsidR="00135691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135691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 charged his property to the Appellant as security for a loan given to a third party. The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fell into arrears with loan repayments. The Appellant notified the Respondent of its intention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sell the property by public auction. The auction was put off and the Respondent given permission to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sell the suit property by private treaty. The Respondent eventually received a firm offer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which he conveyed to the Appellant. The Appellant had however secretly transferred the property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putting the Respondent on notice.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found that the said transfer was fraudulent, and proceeded to award general damages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million. The Appellant appealed, arguing that the Learned Judge erred in a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warding general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whereas the Respondent was only entitled to special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  <w:r w:rsidR="00135691">
        <w:rPr>
          <w:rFonts w:ascii="Times New Roman" w:hAnsi="Times New Roman" w:cs="Times New Roman"/>
          <w:color w:val="000000"/>
        </w:rPr>
        <w:t xml:space="preserve"> </w:t>
      </w:r>
    </w:p>
    <w:p w:rsidR="00135691" w:rsidRDefault="00135691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35691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 plaintiff has an obligation to plead and </w:t>
      </w:r>
      <w:proofErr w:type="spellStart"/>
      <w:r>
        <w:rPr>
          <w:rFonts w:ascii="Times New Roman" w:hAnsi="Times New Roman" w:cs="Times New Roman"/>
          <w:color w:val="000000"/>
        </w:rPr>
        <w:t>particularise</w:t>
      </w:r>
      <w:proofErr w:type="spellEnd"/>
      <w:r>
        <w:rPr>
          <w:rFonts w:ascii="Times New Roman" w:hAnsi="Times New Roman" w:cs="Times New Roman"/>
          <w:color w:val="000000"/>
        </w:rPr>
        <w:t xml:space="preserve"> any item of damage which represents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pocket expenses or loss of earnings incurred prior to the trial and which is capable of substantially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exact calculation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United Paint Co Ltd </w:t>
      </w:r>
      <w:r>
        <w:rPr>
          <w:rFonts w:ascii="Times New Roman" w:hAnsi="Times New Roman" w:cs="Times New Roman"/>
          <w:color w:val="000000"/>
        </w:rPr>
        <w:t>[1969] 1 WLR 570 adopted). Special damages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unlike general damages do not follow in the ordinary course of events; they are exceptional in their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 and they must be specially pleaded and proved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Stoms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Broks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Aktie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Balag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Hutchinson </w:t>
      </w:r>
      <w:r>
        <w:rPr>
          <w:rFonts w:ascii="Times New Roman" w:hAnsi="Times New Roman" w:cs="Times New Roman"/>
          <w:color w:val="000000"/>
        </w:rPr>
        <w:t>[1905]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 51 adopted). However, in the current case, the plaintiff did not know what he had actually lost until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of trial. There was no calculated loss prior to trial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Kenya Commercial Bank Ltd</w:t>
      </w:r>
      <w:r w:rsidR="0013569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[1992] LLR 2357 (CAK) approved; </w:t>
      </w:r>
      <w:r>
        <w:rPr>
          <w:rFonts w:ascii="Times New Roman" w:hAnsi="Times New Roman" w:cs="Times New Roman"/>
          <w:i/>
          <w:iCs/>
          <w:color w:val="000000"/>
        </w:rPr>
        <w:t xml:space="preserve">Sande v Kenya Co-operative Creameries </w:t>
      </w:r>
      <w:r>
        <w:rPr>
          <w:rFonts w:ascii="Times New Roman" w:hAnsi="Times New Roman" w:cs="Times New Roman"/>
          <w:color w:val="000000"/>
        </w:rPr>
        <w:t>[1992] LLR 314 (CAK)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distinguished).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was therefore right in awarding general damages for fraud equivalent to the monetary</w:t>
      </w:r>
      <w:r w:rsidR="001356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the suit property.</w:t>
      </w:r>
    </w:p>
    <w:p w:rsidR="00A45AE4" w:rsidRDefault="00135691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45AE4">
        <w:rPr>
          <w:rFonts w:ascii="Times New Roman" w:hAnsi="Times New Roman" w:cs="Times New Roman"/>
          <w:b/>
          <w:bCs/>
          <w:color w:val="000000"/>
        </w:rPr>
        <w:t>Appeal dismissed. Cases referred to in judgment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Kenya Commercial Bank Ltd </w:t>
      </w:r>
      <w:r>
        <w:rPr>
          <w:rFonts w:ascii="Times New Roman" w:hAnsi="Times New Roman" w:cs="Times New Roman"/>
          <w:color w:val="000000"/>
        </w:rPr>
        <w:t xml:space="preserve">[1992] LLR 2357 (CAK)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Sande v Kenya Co-operative Creameries </w:t>
      </w:r>
      <w:r>
        <w:rPr>
          <w:rFonts w:ascii="Times New Roman" w:hAnsi="Times New Roman" w:cs="Times New Roman"/>
          <w:color w:val="000000"/>
        </w:rPr>
        <w:t xml:space="preserve">[1992] LLR 314 (CAK)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United Paint Company Limited </w:t>
      </w:r>
      <w:r>
        <w:rPr>
          <w:rFonts w:ascii="Times New Roman" w:hAnsi="Times New Roman" w:cs="Times New Roman"/>
          <w:color w:val="000000"/>
        </w:rPr>
        <w:t xml:space="preserve">[1969] 1 WLR 570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A45AE4" w:rsidRDefault="00A45AE4" w:rsidP="00A45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Phillips v Phillips </w:t>
      </w:r>
      <w:r>
        <w:rPr>
          <w:rFonts w:ascii="Times New Roman" w:hAnsi="Times New Roman" w:cs="Times New Roman"/>
          <w:color w:val="000000"/>
        </w:rPr>
        <w:t>[1878] QBD 127, 139</w:t>
      </w:r>
    </w:p>
    <w:p w:rsidR="00575C55" w:rsidRDefault="00A45AE4" w:rsidP="00A45AE4">
      <w:proofErr w:type="spellStart"/>
      <w:r>
        <w:rPr>
          <w:rFonts w:ascii="Times New Roman" w:hAnsi="Times New Roman" w:cs="Times New Roman"/>
          <w:i/>
          <w:iCs/>
          <w:color w:val="000000"/>
        </w:rPr>
        <w:t>Stoms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Broks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Aktie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Bolag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Hutchinson </w:t>
      </w:r>
      <w:r>
        <w:rPr>
          <w:rFonts w:ascii="Times New Roman" w:hAnsi="Times New Roman" w:cs="Times New Roman"/>
          <w:color w:val="000000"/>
        </w:rPr>
        <w:t xml:space="preserve">[1905] AC 51 J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E4"/>
    <w:rsid w:val="00135691"/>
    <w:rsid w:val="00575C55"/>
    <w:rsid w:val="00A4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396-707E-4107-9E9B-604C2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2018-07-04T18:24:00Z</dcterms:created>
  <dcterms:modified xsi:type="dcterms:W3CDTF">2018-07-11T13:13:00Z</dcterms:modified>
</cp:coreProperties>
</file>