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CF6" w:rsidRDefault="002F0CF6" w:rsidP="004E14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Thiong’o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2F0CF6" w:rsidRDefault="002F0CF6" w:rsidP="004E14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Kenya at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</w:p>
    <w:p w:rsidR="002F0CF6" w:rsidRDefault="002F0CF6" w:rsidP="004E14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14 May 2004</w:t>
      </w:r>
    </w:p>
    <w:p w:rsidR="002F0CF6" w:rsidRDefault="002F0CF6" w:rsidP="004E14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131/02</w:t>
      </w:r>
    </w:p>
    <w:p w:rsidR="002F0CF6" w:rsidRDefault="002F0CF6" w:rsidP="004E14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Gicheru</w:t>
      </w:r>
      <w:proofErr w:type="spellEnd"/>
      <w:r>
        <w:rPr>
          <w:rFonts w:ascii="Times New Roman" w:hAnsi="Times New Roman" w:cs="Times New Roman"/>
          <w:color w:val="000000"/>
        </w:rPr>
        <w:t xml:space="preserve"> CJ,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JA and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AJA</w:t>
      </w:r>
    </w:p>
    <w:p w:rsidR="002F0CF6" w:rsidRDefault="002F0CF6" w:rsidP="004E14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F0CF6" w:rsidRDefault="002F0CF6" w:rsidP="004E14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2F0CF6" w:rsidRDefault="002F0CF6" w:rsidP="002F0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Points of law – Duty of second appellate court – Whether second appellate court can</w:t>
      </w:r>
      <w:r w:rsidR="004E14C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interfere with findings of fact.</w:t>
      </w:r>
    </w:p>
    <w:p w:rsidR="002F0CF6" w:rsidRDefault="002F0CF6" w:rsidP="002F0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Crime – Robbery with violence – Car-jacking and robbery by gang with weapons – Incident at night</w:t>
      </w:r>
      <w:r w:rsidR="004E14C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when difficult for complainants to identify accused – Whether conviction would stand on basis of</w:t>
      </w:r>
      <w:r w:rsidR="004E14C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retracted confession and circumstantial evidence.</w:t>
      </w:r>
    </w:p>
    <w:p w:rsidR="002F0CF6" w:rsidRDefault="002F0CF6" w:rsidP="002F0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Evidence – Confession – Whether retracted confession must be corroborated – Material particulars</w:t>
      </w:r>
      <w:r w:rsidR="004E14C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of confession corroborated by circumstantial evidence – Whether circumstantial evidence sufficient</w:t>
      </w:r>
      <w:r w:rsidR="004E14C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corroboration – Whether second appellate court could interfere with findings of fact.</w:t>
      </w:r>
    </w:p>
    <w:p w:rsidR="004E14C3" w:rsidRDefault="002F0CF6" w:rsidP="002F0CF6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  <w:r w:rsidR="004E14C3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4E14C3" w:rsidRDefault="002F0CF6" w:rsidP="002F0CF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convicted of robbery with violence and the conviction affirmed on first appeal. He</w:t>
      </w:r>
      <w:r w:rsidR="004E14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the owner of a motor vehicle the occupants of which had been involved in a robbery with violence</w:t>
      </w:r>
      <w:r w:rsidR="004E14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three occupants of a second motor vehicle. The complainants were ambushed when their route</w:t>
      </w:r>
      <w:r w:rsidR="004E14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blocked by the vehicle of the accused. The incident took place after nightfall, and the complainants</w:t>
      </w:r>
      <w:r w:rsidR="004E14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not identify the accused persons. However, the Appellant went to a police station four hours after</w:t>
      </w:r>
      <w:r w:rsidR="004E14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robbery and reported the theft of his car after a car-jacking. He was arrested. When he was searched</w:t>
      </w:r>
      <w:r w:rsidR="004E14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 time thereafter, his car keys were found in his pocket. His car-jacking story was found to be</w:t>
      </w:r>
      <w:r w:rsidR="004E14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unbelievable because the directions and distances did not agree. The Appellant subsequently wrote a</w:t>
      </w:r>
      <w:r w:rsidR="004E14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detailed confession in his own handwriting which he later retracted.</w:t>
      </w:r>
      <w:r w:rsidR="004E14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relied on the retracted confession and the circumstantial evidence linking the Appellant to</w:t>
      </w:r>
      <w:r w:rsidR="004E14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offence and convicted him. His first appeal was dismissed. On second appeal, he alleged that the</w:t>
      </w:r>
      <w:r w:rsidR="004E14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conviction was improper as the retracted confession had not been corroborated by credible evidence. The</w:t>
      </w:r>
      <w:r w:rsidR="004E14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failure of the prosecution to adduce in evidence the car keys allegedly found in his possession was argued</w:t>
      </w:r>
      <w:r w:rsidR="004E14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have completely rendered worthless the evidence of the search.</w:t>
      </w:r>
      <w:r w:rsidR="004E14C3">
        <w:rPr>
          <w:rFonts w:ascii="Times New Roman" w:hAnsi="Times New Roman" w:cs="Times New Roman"/>
          <w:color w:val="000000"/>
        </w:rPr>
        <w:t xml:space="preserve"> </w:t>
      </w:r>
    </w:p>
    <w:p w:rsidR="00FA6439" w:rsidRDefault="002F0CF6" w:rsidP="00FA6439"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–There is no rule of law that a court cannot act on a retracted and/or repudiated confession unless it</w:t>
      </w:r>
      <w:r w:rsidR="004E14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corroborated in material particulars. What exists is a rule of prudence that a court should be cautious to</w:t>
      </w:r>
      <w:r w:rsidR="004E14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on such a confession unless it is corroborated in material particulars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Tuwamoi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>[1967] EA</w:t>
      </w:r>
      <w:r w:rsidR="004E14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84 adopted). In the current case, the retracted confession was amply corroborated.</w:t>
      </w:r>
      <w:r w:rsidR="004E14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circumstantial evidence tendered by the prosecution was credible and corroborated the</w:t>
      </w:r>
      <w:r w:rsidR="004E14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confession. A second appellate court would not interfere with concurrent findings of fact</w:t>
      </w:r>
      <w:r w:rsidR="004E14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unless the findings were bad in law for being perverse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no reasonable tribunal could on the evidence</w:t>
      </w:r>
      <w:r w:rsidR="004E14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arrived at</w:t>
      </w:r>
      <w:r w:rsidR="004E14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findings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Muriungi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[1982-88] 1 KAR 360,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Nyambane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[1986] KLR 248</w:t>
      </w:r>
      <w:r w:rsidR="004E14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followed). The circumstantial evidence was sufficient because it was incapable of explanation on any</w:t>
      </w:r>
      <w:r w:rsidR="004E14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reasonable hypothesis other than that of his guilt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Kipkering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arap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Koske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[1949] 16</w:t>
      </w:r>
      <w:r w:rsidR="004E14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EACA 135 considered).</w:t>
      </w:r>
      <w:r w:rsidR="004E14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  <w:r w:rsidR="004E14C3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  <w:r w:rsidR="004E14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  <w:r w:rsidR="004E14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  <w:r w:rsidR="004E14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  <w:r w:rsidR="004E14C3">
        <w:rPr>
          <w:rFonts w:ascii="Times New Roman" w:hAnsi="Times New Roman" w:cs="Times New Roman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Kipkering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arap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Koske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[1949] 14 EACA 135 – </w:t>
      </w:r>
      <w:r>
        <w:rPr>
          <w:rFonts w:ascii="Times New Roman" w:hAnsi="Times New Roman" w:cs="Times New Roman"/>
          <w:b/>
          <w:bCs/>
          <w:color w:val="000000"/>
        </w:rPr>
        <w:t>C</w:t>
      </w:r>
      <w:r w:rsidR="004E14C3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Muriungi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Republic </w:t>
      </w:r>
      <w:r>
        <w:rPr>
          <w:rFonts w:ascii="Times New Roman" w:hAnsi="Times New Roman" w:cs="Times New Roman"/>
          <w:color w:val="000000"/>
        </w:rPr>
        <w:t xml:space="preserve">[1982-88] 1 KAR 360 – </w:t>
      </w:r>
      <w:r>
        <w:rPr>
          <w:rFonts w:ascii="Times New Roman" w:hAnsi="Times New Roman" w:cs="Times New Roman"/>
          <w:b/>
          <w:bCs/>
          <w:color w:val="000000"/>
        </w:rPr>
        <w:t>F</w:t>
      </w:r>
      <w:r w:rsidR="004E14C3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Nyambane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[1986] KLR 248 – </w:t>
      </w:r>
      <w:r>
        <w:rPr>
          <w:rFonts w:ascii="Times New Roman" w:hAnsi="Times New Roman" w:cs="Times New Roman"/>
          <w:b/>
          <w:bCs/>
          <w:color w:val="000000"/>
        </w:rPr>
        <w:t>F</w:t>
      </w:r>
      <w:r w:rsidR="004E14C3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Tuwamoi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 xml:space="preserve">[1967] EA 84 – </w:t>
      </w:r>
      <w:r>
        <w:rPr>
          <w:rFonts w:ascii="Times New Roman" w:hAnsi="Times New Roman" w:cs="Times New Roman"/>
          <w:b/>
          <w:bCs/>
          <w:color w:val="000000"/>
        </w:rPr>
        <w:t>A</w:t>
      </w:r>
      <w:r w:rsidR="004E14C3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  <w:r w:rsidR="004E14C3">
        <w:rPr>
          <w:rFonts w:ascii="Times New Roman" w:hAnsi="Times New Roman" w:cs="Times New Roman"/>
          <w:b/>
          <w:bCs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Martin v</w:t>
      </w:r>
      <w:r w:rsidR="004E14C3">
        <w:t xml:space="preserve"> </w:t>
      </w:r>
      <w:bookmarkStart w:id="0" w:name="_GoBack"/>
      <w:bookmarkEnd w:id="0"/>
      <w:proofErr w:type="spellStart"/>
      <w:r w:rsidR="00FA6439">
        <w:rPr>
          <w:rFonts w:ascii="Times New Roman" w:hAnsi="Times New Roman" w:cs="Times New Roman"/>
          <w:i/>
          <w:iCs/>
          <w:color w:val="000000"/>
        </w:rPr>
        <w:t>Glywed</w:t>
      </w:r>
      <w:proofErr w:type="spellEnd"/>
      <w:r w:rsidR="00FA6439">
        <w:rPr>
          <w:rFonts w:ascii="Times New Roman" w:hAnsi="Times New Roman" w:cs="Times New Roman"/>
          <w:i/>
          <w:iCs/>
          <w:color w:val="000000"/>
        </w:rPr>
        <w:t xml:space="preserve"> Distributors Ltd (t/a MBS Fastenings) </w:t>
      </w:r>
      <w:r w:rsidR="00FA6439">
        <w:rPr>
          <w:rFonts w:ascii="Times New Roman" w:hAnsi="Times New Roman" w:cs="Times New Roman"/>
          <w:color w:val="000000"/>
        </w:rPr>
        <w:t>[1983] 1 CR 511</w:t>
      </w:r>
    </w:p>
    <w:sectPr w:rsidR="00FA6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F6"/>
    <w:rsid w:val="002F0CF6"/>
    <w:rsid w:val="004E14C3"/>
    <w:rsid w:val="00575C55"/>
    <w:rsid w:val="00FA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C6FDE-EB01-42B5-A9D3-80F403C4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5</cp:revision>
  <dcterms:created xsi:type="dcterms:W3CDTF">2018-07-04T18:26:00Z</dcterms:created>
  <dcterms:modified xsi:type="dcterms:W3CDTF">2018-07-11T13:09:00Z</dcterms:modified>
</cp:coreProperties>
</file>