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Tononoka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Steels Ltd v The Eastern and Southern Africa Trade and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Development Bank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August 1999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255/98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Arbitration – Proper procedure to apply for arbitration – Arbitration Act 1995.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Conflict of laws – Applicable law clause – Whether the same ousts court’s jurisdiction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Immunity – Immunity granted to PTA bank – Whether the same is absolute immunity – Whether PTA</w:t>
      </w:r>
    </w:p>
    <w:p w:rsidR="00426910" w:rsidRDefault="00426910" w:rsidP="00426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bank’s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commercial transactions immune to civil process – Privileges and Immunities Act</w:t>
      </w:r>
    </w:p>
    <w:p w:rsidR="001F33B3" w:rsidRDefault="00426910" w:rsidP="0042691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1F33B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Tononoka</w:t>
      </w:r>
      <w:proofErr w:type="spellEnd"/>
      <w:r>
        <w:rPr>
          <w:rFonts w:ascii="Times New Roman" w:hAnsi="Times New Roman" w:cs="Times New Roman"/>
          <w:color w:val="000000"/>
        </w:rPr>
        <w:t xml:space="preserve"> Steels Limited, a limited liability company, entered into a commercial facility agreement with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East and Sothern Africa Trade and Development Bank, a body corporate established under a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multilateral treaty. </w:t>
      </w:r>
      <w:proofErr w:type="spellStart"/>
      <w:r>
        <w:rPr>
          <w:rFonts w:ascii="Times New Roman" w:hAnsi="Times New Roman" w:cs="Times New Roman"/>
          <w:color w:val="000000"/>
        </w:rPr>
        <w:t>Tononoka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Steeks</w:t>
      </w:r>
      <w:proofErr w:type="spellEnd"/>
      <w:r>
        <w:rPr>
          <w:rFonts w:ascii="Times New Roman" w:hAnsi="Times New Roman" w:cs="Times New Roman"/>
          <w:color w:val="000000"/>
        </w:rPr>
        <w:t xml:space="preserve"> Ltd subsequently filed suit against the East Africa and Southern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Africa Trade and </w:t>
      </w:r>
      <w:proofErr w:type="spellStart"/>
      <w:r>
        <w:rPr>
          <w:rFonts w:ascii="Times New Roman" w:hAnsi="Times New Roman" w:cs="Times New Roman"/>
          <w:color w:val="000000"/>
        </w:rPr>
        <w:t>Devlopment</w:t>
      </w:r>
      <w:proofErr w:type="spellEnd"/>
      <w:r>
        <w:rPr>
          <w:rFonts w:ascii="Times New Roman" w:hAnsi="Times New Roman" w:cs="Times New Roman"/>
          <w:color w:val="000000"/>
        </w:rPr>
        <w:t xml:space="preserve"> Bank claiming breach of contract and seeking damages, injunction and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costs. </w:t>
      </w:r>
      <w:proofErr w:type="spellStart"/>
      <w:r>
        <w:rPr>
          <w:rFonts w:ascii="Times New Roman" w:hAnsi="Times New Roman" w:cs="Times New Roman"/>
          <w:color w:val="000000"/>
        </w:rPr>
        <w:t>Tononka</w:t>
      </w:r>
      <w:proofErr w:type="spellEnd"/>
      <w:r>
        <w:rPr>
          <w:rFonts w:ascii="Times New Roman" w:hAnsi="Times New Roman" w:cs="Times New Roman"/>
          <w:color w:val="000000"/>
        </w:rPr>
        <w:t xml:space="preserve"> Steels Ltd simultaneously made an application for interlocutory relief. The East and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Southern Africa Trade and Development Bank entered appearance and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claiming immunity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civil process and contending that the applicable law by virtue of an arbitration clause was the law of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England. At the hearing of the interlocutory application, The East and Southern Africa Trade and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Development Bank raised the aforesaid preliminary objections and the court concurred, striking out the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and the suit.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Tononoka</w:t>
      </w:r>
      <w:proofErr w:type="spellEnd"/>
      <w:r>
        <w:rPr>
          <w:rFonts w:ascii="Times New Roman" w:hAnsi="Times New Roman" w:cs="Times New Roman"/>
          <w:color w:val="000000"/>
        </w:rPr>
        <w:t xml:space="preserve"> Steels Ltd now appealed. The Court considered the effect of the arbitration agreement and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immunity granted to PTA Bank under the Privileges and Immunities Act. Article 43 of the PTA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Charter stated that the bank shall enjoy immunity from every form of legal process except insofar as in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particular case it had through its president expressly waived its immunity. The Minister of Foreign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Affairs had subsequently promulgated an order under the Privileges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Immunities Act that applied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immunities, including immunity from suit and legal process, to the bank.</w:t>
      </w:r>
      <w:r w:rsidR="001F33B3">
        <w:rPr>
          <w:rFonts w:ascii="Times New Roman" w:hAnsi="Times New Roman" w:cs="Times New Roman"/>
          <w:color w:val="000000"/>
        </w:rPr>
        <w:t xml:space="preserve"> </w:t>
      </w:r>
    </w:p>
    <w:p w:rsidR="001F33B3" w:rsidRDefault="00426910" w:rsidP="0042691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Parliament did not intend to extend an absolute immunity from suits and legal process to the PTA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Bank. Such an extension would be against public policy and in breach of international law. The only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the Minister could validly extend to the bank under section 9 of the Act would be qualified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immunity that would not cover its operations as a bank.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Trendex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Trading Corp v Central Bank of Nigeria</w:t>
      </w:r>
      <w:r w:rsidR="001F33B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[1977] 1 All ER 881,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European Bank for Reconstruction and Development </w:t>
      </w:r>
      <w:r>
        <w:rPr>
          <w:rFonts w:ascii="Times New Roman" w:hAnsi="Times New Roman" w:cs="Times New Roman"/>
          <w:color w:val="000000"/>
        </w:rPr>
        <w:t>[1994] 1 CR 897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adopted.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the arbitration clause provided that English law would be applicable did not completely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oust the jurisdiction of the local courts. The Kenyan courts would still retain residual jurisdiction to deal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peripheral matters and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see to it that any disputes or differences were dealt with in the manner agreed. </w:t>
      </w:r>
      <w:r>
        <w:rPr>
          <w:rFonts w:ascii="Times New Roman" w:hAnsi="Times New Roman" w:cs="Times New Roman"/>
          <w:i/>
          <w:iCs/>
          <w:color w:val="000000"/>
        </w:rPr>
        <w:t xml:space="preserve">Scott v Avery </w:t>
      </w:r>
      <w:r>
        <w:rPr>
          <w:rFonts w:ascii="Times New Roman" w:hAnsi="Times New Roman" w:cs="Times New Roman"/>
          <w:color w:val="000000"/>
        </w:rPr>
        <w:t>[1856] 5 HL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811 adopted. In any case, the Minister under the Privileges and Immunities Act had no power to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a rule that completely ousts the jurisdiction of the courts</w:t>
      </w:r>
      <w:r>
        <w:rPr>
          <w:rFonts w:ascii="Times New Roman" w:hAnsi="Times New Roman" w:cs="Times New Roman"/>
          <w:i/>
          <w:iCs/>
          <w:color w:val="000000"/>
        </w:rPr>
        <w:t xml:space="preserve">. Davis v Mistry </w:t>
      </w:r>
      <w:r>
        <w:rPr>
          <w:rFonts w:ascii="Times New Roman" w:hAnsi="Times New Roman" w:cs="Times New Roman"/>
          <w:color w:val="000000"/>
        </w:rPr>
        <w:t>[1973] EA 463 followed</w:t>
      </w:r>
      <w:r>
        <w:rPr>
          <w:rFonts w:ascii="Times New Roman" w:hAnsi="Times New Roman" w:cs="Times New Roman"/>
          <w:i/>
          <w:iCs/>
          <w:color w:val="000000"/>
        </w:rPr>
        <w:t>;</w:t>
      </w:r>
      <w:r w:rsidR="001F33B3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Pyx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Granite v Ministry of Housing </w:t>
      </w:r>
      <w:r>
        <w:rPr>
          <w:rFonts w:ascii="Times New Roman" w:hAnsi="Times New Roman" w:cs="Times New Roman"/>
          <w:color w:val="000000"/>
        </w:rPr>
        <w:t>[1960] AC 260 adopted.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arbitration clause specified the applicable law, the agreement was to be construed and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governed in accordance with that law. In the instant case,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immunity was not available to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because the applicable law was the law of England and not Kenyan law. Under English law,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does not extend to commercial transactions.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On the question of whether and when a point of law may be taken for the first time on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the general principles are: (1) to allow the issue to be raised where it does not require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 of disputed facts; (2) to allow the issue where no question of evidence arises; (3) where it is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clear if all evidence is present, the court may allow the issue to be raised </w:t>
      </w:r>
      <w:r>
        <w:rPr>
          <w:rFonts w:ascii="Times New Roman" w:hAnsi="Times New Roman" w:cs="Times New Roman"/>
          <w:i/>
          <w:iCs/>
          <w:color w:val="000000"/>
        </w:rPr>
        <w:t xml:space="preserve">de bene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esse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then decide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to grant leave; (4) the court may raise a point of law of its </w:t>
      </w:r>
      <w:r>
        <w:rPr>
          <w:rFonts w:ascii="Times New Roman" w:hAnsi="Times New Roman" w:cs="Times New Roman"/>
          <w:color w:val="000000"/>
        </w:rPr>
        <w:lastRenderedPageBreak/>
        <w:t>own motion, especially where there is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question of jurisdiction.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 Suit reinstated and injunction granted.</w:t>
      </w:r>
    </w:p>
    <w:p w:rsidR="001F33B3" w:rsidRDefault="001F33B3" w:rsidP="00426910">
      <w:pPr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426910">
        <w:rPr>
          <w:rFonts w:ascii="Times New Roman" w:hAnsi="Times New Roman" w:cs="Times New Roman"/>
          <w:b/>
          <w:bCs/>
          <w:color w:val="000000"/>
        </w:rPr>
        <w:t>Cases referred to in judgment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426910">
        <w:rPr>
          <w:rFonts w:ascii="Times New Roman" w:hAnsi="Times New Roman" w:cs="Times New Roman"/>
          <w:color w:val="000000"/>
        </w:rPr>
        <w:t>(“</w:t>
      </w:r>
      <w:r w:rsidR="00426910">
        <w:rPr>
          <w:rFonts w:ascii="Times New Roman" w:hAnsi="Times New Roman" w:cs="Times New Roman"/>
          <w:b/>
          <w:bCs/>
          <w:color w:val="000000"/>
        </w:rPr>
        <w:t>A</w:t>
      </w:r>
      <w:r w:rsidR="00426910">
        <w:rPr>
          <w:rFonts w:ascii="Times New Roman" w:hAnsi="Times New Roman" w:cs="Times New Roman"/>
          <w:color w:val="000000"/>
        </w:rPr>
        <w:t>” means adopted; “</w:t>
      </w:r>
      <w:r w:rsidR="00426910">
        <w:rPr>
          <w:rFonts w:ascii="Times New Roman" w:hAnsi="Times New Roman" w:cs="Times New Roman"/>
          <w:b/>
          <w:bCs/>
          <w:color w:val="000000"/>
        </w:rPr>
        <w:t>AL</w:t>
      </w:r>
      <w:r w:rsidR="00426910">
        <w:rPr>
          <w:rFonts w:ascii="Times New Roman" w:hAnsi="Times New Roman" w:cs="Times New Roman"/>
          <w:color w:val="000000"/>
        </w:rPr>
        <w:t>” means allowed; “</w:t>
      </w:r>
      <w:r w:rsidR="00426910">
        <w:rPr>
          <w:rFonts w:ascii="Times New Roman" w:hAnsi="Times New Roman" w:cs="Times New Roman"/>
          <w:b/>
          <w:bCs/>
          <w:color w:val="000000"/>
        </w:rPr>
        <w:t>AP</w:t>
      </w:r>
      <w:r w:rsidR="00426910">
        <w:rPr>
          <w:rFonts w:ascii="Times New Roman" w:hAnsi="Times New Roman" w:cs="Times New Roman"/>
          <w:color w:val="000000"/>
        </w:rPr>
        <w:t>” means applied; “</w:t>
      </w:r>
      <w:r w:rsidR="00426910">
        <w:rPr>
          <w:rFonts w:ascii="Times New Roman" w:hAnsi="Times New Roman" w:cs="Times New Roman"/>
          <w:b/>
          <w:bCs/>
          <w:color w:val="000000"/>
        </w:rPr>
        <w:t>APP</w:t>
      </w:r>
      <w:r w:rsidR="00426910">
        <w:rPr>
          <w:rFonts w:ascii="Times New Roman" w:hAnsi="Times New Roman" w:cs="Times New Roman"/>
          <w:color w:val="000000"/>
        </w:rPr>
        <w:t>” means approved; “</w:t>
      </w:r>
      <w:r w:rsidR="00426910">
        <w:rPr>
          <w:rFonts w:ascii="Times New Roman" w:hAnsi="Times New Roman" w:cs="Times New Roman"/>
          <w:b/>
          <w:bCs/>
          <w:color w:val="000000"/>
        </w:rPr>
        <w:t>C</w:t>
      </w:r>
      <w:r w:rsidR="00426910">
        <w:rPr>
          <w:rFonts w:ascii="Times New Roman" w:hAnsi="Times New Roman" w:cs="Times New Roman"/>
          <w:color w:val="000000"/>
        </w:rPr>
        <w:t>” means</w:t>
      </w:r>
      <w:r>
        <w:rPr>
          <w:rFonts w:ascii="Times New Roman" w:hAnsi="Times New Roman" w:cs="Times New Roman"/>
          <w:color w:val="000000"/>
        </w:rPr>
        <w:t xml:space="preserve"> </w:t>
      </w:r>
      <w:r w:rsidR="00426910">
        <w:rPr>
          <w:rFonts w:ascii="Times New Roman" w:hAnsi="Times New Roman" w:cs="Times New Roman"/>
          <w:color w:val="000000"/>
        </w:rPr>
        <w:t>considered; “</w:t>
      </w:r>
      <w:r w:rsidR="00426910">
        <w:rPr>
          <w:rFonts w:ascii="Times New Roman" w:hAnsi="Times New Roman" w:cs="Times New Roman"/>
          <w:b/>
          <w:bCs/>
          <w:color w:val="000000"/>
        </w:rPr>
        <w:t>D</w:t>
      </w:r>
      <w:r w:rsidR="00426910">
        <w:rPr>
          <w:rFonts w:ascii="Times New Roman" w:hAnsi="Times New Roman" w:cs="Times New Roman"/>
          <w:color w:val="000000"/>
        </w:rPr>
        <w:t>” means distinguished; “</w:t>
      </w:r>
      <w:r w:rsidR="00426910">
        <w:rPr>
          <w:rFonts w:ascii="Times New Roman" w:hAnsi="Times New Roman" w:cs="Times New Roman"/>
          <w:b/>
          <w:bCs/>
          <w:color w:val="000000"/>
        </w:rPr>
        <w:t>DA</w:t>
      </w:r>
      <w:r w:rsidR="00426910">
        <w:rPr>
          <w:rFonts w:ascii="Times New Roman" w:hAnsi="Times New Roman" w:cs="Times New Roman"/>
          <w:color w:val="000000"/>
        </w:rPr>
        <w:t>” means disapproved; “</w:t>
      </w:r>
      <w:r w:rsidR="00426910">
        <w:rPr>
          <w:rFonts w:ascii="Times New Roman" w:hAnsi="Times New Roman" w:cs="Times New Roman"/>
          <w:b/>
          <w:bCs/>
          <w:color w:val="000000"/>
        </w:rPr>
        <w:t>DT</w:t>
      </w:r>
      <w:r w:rsidR="00426910">
        <w:rPr>
          <w:rFonts w:ascii="Times New Roman" w:hAnsi="Times New Roman" w:cs="Times New Roman"/>
          <w:color w:val="000000"/>
        </w:rPr>
        <w:t>” means doubted; “</w:t>
      </w:r>
      <w:r w:rsidR="00426910">
        <w:rPr>
          <w:rFonts w:ascii="Times New Roman" w:hAnsi="Times New Roman" w:cs="Times New Roman"/>
          <w:b/>
          <w:bCs/>
          <w:color w:val="000000"/>
        </w:rPr>
        <w:t>E</w:t>
      </w:r>
      <w:r w:rsidR="00426910">
        <w:rPr>
          <w:rFonts w:ascii="Times New Roman" w:hAnsi="Times New Roman" w:cs="Times New Roman"/>
          <w:color w:val="000000"/>
        </w:rPr>
        <w:t>” means</w:t>
      </w:r>
      <w:r>
        <w:rPr>
          <w:rFonts w:ascii="Times New Roman" w:hAnsi="Times New Roman" w:cs="Times New Roman"/>
          <w:color w:val="000000"/>
        </w:rPr>
        <w:t xml:space="preserve"> </w:t>
      </w:r>
      <w:r w:rsidR="00426910">
        <w:rPr>
          <w:rFonts w:ascii="Times New Roman" w:hAnsi="Times New Roman" w:cs="Times New Roman"/>
          <w:color w:val="000000"/>
        </w:rPr>
        <w:t>explained; “</w:t>
      </w:r>
      <w:r w:rsidR="00426910">
        <w:rPr>
          <w:rFonts w:ascii="Times New Roman" w:hAnsi="Times New Roman" w:cs="Times New Roman"/>
          <w:b/>
          <w:bCs/>
          <w:color w:val="000000"/>
        </w:rPr>
        <w:t>F</w:t>
      </w:r>
      <w:r w:rsidR="00426910">
        <w:rPr>
          <w:rFonts w:ascii="Times New Roman" w:hAnsi="Times New Roman" w:cs="Times New Roman"/>
          <w:color w:val="000000"/>
        </w:rPr>
        <w:t>” means followed; “</w:t>
      </w:r>
      <w:r w:rsidR="00426910">
        <w:rPr>
          <w:rFonts w:ascii="Times New Roman" w:hAnsi="Times New Roman" w:cs="Times New Roman"/>
          <w:b/>
          <w:bCs/>
          <w:color w:val="000000"/>
        </w:rPr>
        <w:t>O</w:t>
      </w:r>
      <w:r w:rsidR="00426910">
        <w:rPr>
          <w:rFonts w:ascii="Times New Roman" w:hAnsi="Times New Roman" w:cs="Times New Roman"/>
          <w:color w:val="000000"/>
        </w:rPr>
        <w:t>” means overruled)</w:t>
      </w:r>
      <w:r>
        <w:rPr>
          <w:rFonts w:ascii="Times New Roman" w:hAnsi="Times New Roman" w:cs="Times New Roman"/>
          <w:color w:val="000000"/>
        </w:rPr>
        <w:t xml:space="preserve"> </w:t>
      </w:r>
      <w:r w:rsidR="00426910"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</w:p>
    <w:p w:rsidR="003F18BF" w:rsidRDefault="00426910" w:rsidP="00426910">
      <w:proofErr w:type="spellStart"/>
      <w:r>
        <w:rPr>
          <w:rFonts w:ascii="Times New Roman" w:hAnsi="Times New Roman" w:cs="Times New Roman"/>
          <w:i/>
          <w:iCs/>
          <w:color w:val="000000"/>
        </w:rPr>
        <w:t>Damodar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Jihanbhai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Ltd v Eustace Sisal Estates Ltd </w:t>
      </w:r>
      <w:r>
        <w:rPr>
          <w:rFonts w:ascii="Times New Roman" w:hAnsi="Times New Roman" w:cs="Times New Roman"/>
          <w:color w:val="000000"/>
        </w:rPr>
        <w:t>[1967] EA 153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Davis and another v Mistry </w:t>
      </w:r>
      <w:r>
        <w:rPr>
          <w:rFonts w:ascii="Times New Roman" w:hAnsi="Times New Roman" w:cs="Times New Roman"/>
          <w:color w:val="000000"/>
        </w:rPr>
        <w:t xml:space="preserve">[1973] EA 463 – </w:t>
      </w:r>
      <w:r>
        <w:rPr>
          <w:rFonts w:ascii="Times New Roman" w:hAnsi="Times New Roman" w:cs="Times New Roman"/>
          <w:b/>
          <w:bCs/>
          <w:color w:val="000000"/>
        </w:rPr>
        <w:t>F</w:t>
      </w:r>
      <w:r w:rsidR="001F33B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Jagat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Bains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Chogle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[1949] 16 EACA 27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Overseas Finance Corporation Ltd v Administrator-General </w:t>
      </w:r>
      <w:r>
        <w:rPr>
          <w:rFonts w:ascii="Times New Roman" w:hAnsi="Times New Roman" w:cs="Times New Roman"/>
          <w:color w:val="000000"/>
        </w:rPr>
        <w:t>[1942] 9 EACA 1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Visram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Bhatta </w:t>
      </w:r>
      <w:r>
        <w:rPr>
          <w:rFonts w:ascii="Times New Roman" w:hAnsi="Times New Roman" w:cs="Times New Roman"/>
          <w:color w:val="000000"/>
        </w:rPr>
        <w:t>[1965] EA 789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  <w:r w:rsidR="001F33B3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Connecticut Fire Insurance Co v Kavanagh </w:t>
      </w:r>
      <w:r>
        <w:rPr>
          <w:rFonts w:ascii="Times New Roman" w:hAnsi="Times New Roman" w:cs="Times New Roman"/>
          <w:color w:val="000000"/>
        </w:rPr>
        <w:t>[1892] AC 473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Lever Bros v Bell </w:t>
      </w:r>
      <w:r>
        <w:rPr>
          <w:rFonts w:ascii="Times New Roman" w:hAnsi="Times New Roman" w:cs="Times New Roman"/>
          <w:color w:val="000000"/>
        </w:rPr>
        <w:t>[1931] 1 KB 557</w:t>
      </w:r>
      <w:r w:rsidR="001F33B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Mukuro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European Bank for Reconstruction and Development </w:t>
      </w:r>
      <w:r>
        <w:rPr>
          <w:rFonts w:ascii="Times New Roman" w:hAnsi="Times New Roman" w:cs="Times New Roman"/>
          <w:color w:val="000000"/>
        </w:rPr>
        <w:t xml:space="preserve">[1994] 1 CR 897 – </w:t>
      </w:r>
      <w:r>
        <w:rPr>
          <w:rFonts w:ascii="Times New Roman" w:hAnsi="Times New Roman" w:cs="Times New Roman"/>
          <w:b/>
          <w:bCs/>
          <w:color w:val="000000"/>
        </w:rPr>
        <w:t>A</w:t>
      </w:r>
      <w:r w:rsidR="001F33B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Pyx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Granite Co v Ministry of Housing </w:t>
      </w:r>
      <w:r>
        <w:rPr>
          <w:rFonts w:ascii="Times New Roman" w:hAnsi="Times New Roman" w:cs="Times New Roman"/>
          <w:color w:val="000000"/>
        </w:rPr>
        <w:t xml:space="preserve">[1960] AC 260 – </w:t>
      </w:r>
      <w:r>
        <w:rPr>
          <w:rFonts w:ascii="Times New Roman" w:hAnsi="Times New Roman" w:cs="Times New Roman"/>
          <w:b/>
          <w:bCs/>
          <w:color w:val="000000"/>
        </w:rPr>
        <w:t>A</w:t>
      </w:r>
      <w:r w:rsidR="001F33B3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Scott v Avery </w:t>
      </w:r>
      <w:r>
        <w:rPr>
          <w:rFonts w:ascii="Times New Roman" w:hAnsi="Times New Roman" w:cs="Times New Roman"/>
          <w:color w:val="000000"/>
        </w:rPr>
        <w:t xml:space="preserve">[1856] 5 HL Cases 811 – </w:t>
      </w:r>
      <w:r>
        <w:rPr>
          <w:rFonts w:ascii="Times New Roman" w:hAnsi="Times New Roman" w:cs="Times New Roman"/>
          <w:b/>
          <w:bCs/>
          <w:color w:val="000000"/>
        </w:rPr>
        <w:t>A</w:t>
      </w:r>
      <w:r w:rsidR="001F33B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Trendex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Trading Corporation Ltd v Central Bank of Nigeria </w:t>
      </w:r>
      <w:r>
        <w:rPr>
          <w:rFonts w:ascii="Times New Roman" w:hAnsi="Times New Roman" w:cs="Times New Roman"/>
          <w:color w:val="000000"/>
        </w:rPr>
        <w:t xml:space="preserve">[1977] 1 All ER 981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10"/>
    <w:rsid w:val="001F33B3"/>
    <w:rsid w:val="003F18BF"/>
    <w:rsid w:val="00426910"/>
    <w:rsid w:val="005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3D442-B7B6-45E2-AE4F-716629E0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2018-07-05T11:03:00Z</dcterms:created>
  <dcterms:modified xsi:type="dcterms:W3CDTF">2018-07-11T12:59:00Z</dcterms:modified>
</cp:coreProperties>
</file>