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Total (Kenya) Limited v Kenya Railways Corporation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27 January 2004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1389/01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Execution – Garnishee proceedings – Applicant attaching bank balance of State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corporation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permitted by law.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State corporation – Execution by attachment – Whether execution by attachment of a debt in the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nature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a bank balance of a state corporation proper – Section 88 – Kenya Railways Corporation Act</w:t>
      </w:r>
    </w:p>
    <w:p w:rsidR="006F1D7F" w:rsidRDefault="006F1D7F" w:rsidP="00DA4F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(Chapter 397).</w:t>
      </w:r>
    </w:p>
    <w:p w:rsidR="006F1D7F" w:rsidRDefault="006F1D7F" w:rsidP="006F1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A4F8B" w:rsidRDefault="006F1D7F" w:rsidP="006F1D7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filed an application seeking to garnish the bank balance of Kenya Railways with a third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party bank. Kenya Railways learnt of the garnishee order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and filed an application seeking leave to be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in response to the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garnishee. It was submitted by the Plaintiff that the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corporation could not oppose the proceedings save by showing that the debt being sought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satisfied. The Respondent argued that the law precluded the Plaintiff from attaching any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of the Respondent in execution of a court decree.</w:t>
      </w:r>
      <w:r w:rsidR="00DA4F8B">
        <w:rPr>
          <w:rFonts w:ascii="Times New Roman" w:hAnsi="Times New Roman" w:cs="Times New Roman"/>
          <w:color w:val="000000"/>
        </w:rPr>
        <w:t xml:space="preserve"> </w:t>
      </w:r>
    </w:p>
    <w:p w:rsidR="00DA4F8B" w:rsidRDefault="006F1D7F" w:rsidP="006F1D7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wording of section 67 of the Kenya Ports Authority Act, section 110 of the former KPTC Act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section 88 of the Kenya Railways Corporation Act was drafted in similar language. Each section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restricted execution or attachment against the Corporation or any property of the Corporation. The phrase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“any property of the Corporation” definitely extended to and included money in the account of the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or any third party who held such money for the said Corporation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  <w:r w:rsidR="00DA4F8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Advocates v Managing Director Kenya Railways Corporation </w:t>
      </w:r>
      <w:r>
        <w:rPr>
          <w:rFonts w:ascii="Times New Roman" w:hAnsi="Times New Roman" w:cs="Times New Roman"/>
          <w:color w:val="000000"/>
        </w:rPr>
        <w:t>[2001] LLR 4491 (HCK) followed).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Garnishee proceedings dismissed.</w:t>
      </w:r>
      <w:r w:rsidR="00DA4F8B">
        <w:rPr>
          <w:rFonts w:ascii="Times New Roman" w:hAnsi="Times New Roman" w:cs="Times New Roman"/>
          <w:color w:val="000000"/>
        </w:rPr>
        <w:t xml:space="preserve"> </w:t>
      </w:r>
    </w:p>
    <w:p w:rsidR="00575C55" w:rsidRDefault="006F1D7F" w:rsidP="006F1D7F">
      <w:r>
        <w:rPr>
          <w:rFonts w:ascii="Times New Roman" w:hAnsi="Times New Roman" w:cs="Times New Roman"/>
          <w:b/>
          <w:bCs/>
          <w:color w:val="000000"/>
        </w:rPr>
        <w:t>Case referred to in ruling</w:t>
      </w:r>
      <w:r w:rsidR="00DA4F8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Advocates v Managing Director Kenya Railways Corporation </w:t>
      </w:r>
      <w:r>
        <w:rPr>
          <w:rFonts w:ascii="Times New Roman" w:hAnsi="Times New Roman" w:cs="Times New Roman"/>
          <w:color w:val="000000"/>
        </w:rPr>
        <w:t>[2001] LLR 4491</w:t>
      </w:r>
      <w:r w:rsidR="00DA4F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(HCK)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r w:rsidR="00DA4F8B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80"/>
        </w:rPr>
        <w:t>P</w:t>
      </w:r>
      <w:r w:rsidR="00DA4F8B">
        <w:t xml:space="preserve"> 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7F"/>
    <w:rsid w:val="00575C55"/>
    <w:rsid w:val="006F1D7F"/>
    <w:rsid w:val="00D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8FA7-EC8B-4996-B790-EAC67478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2018-07-04T18:28:00Z</dcterms:created>
  <dcterms:modified xsi:type="dcterms:W3CDTF">2018-07-11T12:55:00Z</dcterms:modified>
</cp:coreProperties>
</file>