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Total (Kenya) Limited v Kenya Railways Corporation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27 January 2004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1389/01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AJ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Execution – Garnishee proceedings – Applicant attaching bank balance of State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corporation – Whether permitted by law.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State corporation – Execution by attachment – Whether execution by attachment of a debt in the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nature of a bank balance of a state corporation proper – Section 88 – Kenya Railways Corporation Act</w:t>
      </w:r>
    </w:p>
    <w:p w:rsidR="00417FF6" w:rsidRDefault="00417FF6" w:rsidP="00193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397).</w:t>
      </w:r>
    </w:p>
    <w:p w:rsidR="00D13E6C" w:rsidRDefault="00D13E6C" w:rsidP="00193EFF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193EFF" w:rsidRDefault="00193EFF" w:rsidP="00193EFF">
      <w:pPr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75C55" w:rsidRDefault="00417FF6" w:rsidP="00417FF6">
      <w:r>
        <w:rPr>
          <w:rFonts w:ascii="Times New Roman" w:hAnsi="Times New Roman" w:cs="Times New Roman"/>
          <w:b/>
          <w:bCs/>
          <w:color w:val="000000"/>
        </w:rPr>
        <w:t xml:space="preserve">Ochieng AJ: </w:t>
      </w:r>
      <w:r>
        <w:rPr>
          <w:rFonts w:ascii="Times New Roman" w:hAnsi="Times New Roman" w:cs="Times New Roman"/>
          <w:color w:val="000000"/>
        </w:rPr>
        <w:t>The Plaintiff Total (Kenya) Limited has filed a chamber summons application seeking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directed at the Garnishee Kenya Commercial Bank Limited, compelling it to pay over to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such sums as are in the Defendant’s account with the Garnishee, to the extent necessary to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the decretal debt payable by the Defendant to the Plaintiff. In effect, the Plaintiff is seeking a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garnishee order to attach the funds held by Kenya Commercial Bank Limited in favour of the Defendant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Railways Corporation.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4 December 2003 the application first came before Nyamu J, and the court granted the garnishee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</w:t>
      </w:r>
      <w:r>
        <w:rPr>
          <w:rFonts w:ascii="Times New Roman" w:hAnsi="Times New Roman" w:cs="Times New Roman"/>
          <w:i/>
          <w:iCs/>
          <w:color w:val="000000"/>
        </w:rPr>
        <w:t>nisi</w:t>
      </w:r>
      <w:r>
        <w:rPr>
          <w:rFonts w:ascii="Times New Roman" w:hAnsi="Times New Roman" w:cs="Times New Roman"/>
          <w:color w:val="000000"/>
        </w:rPr>
        <w:t>. The court further directed the Garnishee to show cause why it should not pay to the Applicant,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monies held by it on account of the Respondent, or so much thereof as may be sufficient to satisfy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 together with costs.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records show that the Applicant herein did extract the formal garnishee order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on 5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2003. However, the record does not have any evidence to prove that the said order was served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Garnishee. But what is clear is the fact that the said Garnishee was served with a hearing Notice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requiring them to attend court on 20 January 2004, to show cause. Be that as it may, the Garnishee did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attend court to show cause.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Meanwhile, the Defendant must have become aware of the garnishee proceedings. On 19 January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the Defendant filed a notice of motion seeking leave to have its new lawyers M/s Ochieng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Onyango, Kibet and Ohaga Advocates come on record in place of M/s Mereka and Company advocates.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said notice of motion, the Defendants also sought leave to be heard in opposition to the garnishee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Plaintiff did not oppose the request by the law firm of Ochieng Onyango, Kibet and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Ohaga Advocates to act for the Defendant. Consequently, this Court did grant the said lawyers leave to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on record. Thereafter the substantive garnishee proceedings went ahead.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 xml:space="preserve">Kambuni </w:t>
      </w:r>
      <w:r>
        <w:rPr>
          <w:rFonts w:ascii="Times New Roman" w:hAnsi="Times New Roman" w:cs="Times New Roman"/>
          <w:color w:val="000000"/>
        </w:rPr>
        <w:t>submitted that the only avenue open to the Defendant in these proceedings would be to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satisfy the Court that they had settled the decretal amount. It was counsel’s submission that once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Garnishee (Kenya Commercial Bank Limited) did not attend court to show cause why the money in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should be attached, the court ought to proceed to make absolute the Garnishee Order </w:t>
      </w:r>
      <w:r>
        <w:rPr>
          <w:rFonts w:ascii="Times New Roman" w:hAnsi="Times New Roman" w:cs="Times New Roman"/>
          <w:i/>
          <w:iCs/>
          <w:color w:val="000000"/>
        </w:rPr>
        <w:t>nisi</w:t>
      </w:r>
      <w:r>
        <w:rPr>
          <w:rFonts w:ascii="Times New Roman" w:hAnsi="Times New Roman" w:cs="Times New Roman"/>
          <w:color w:val="000000"/>
        </w:rPr>
        <w:t>.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further submitted that the provisions of section 88 of the Kenya Railways Corporation Act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397 did not avail any recourse to the Defendant. The said section reads as follows: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anything to the contrary in any law.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any judgment or order has been obtained against the Corporation, no execution or attachment,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process in the nature thereof shall be issued against the Corporation or against any immovable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 of the Corporation or any of its trains, vehicles, vessels or its other operating equipment,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machinery, fixtures or fittings, but the managing director shall, without delay, cause to be paid out of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revenue of the Corporation such amounts as may, by the judgment or order, be awarded against the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Corporation to the person entitled thereto;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No immovable property of et Corporation or any of its trains, vehicles, vessels or its other operating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equipment, machinery fixtures or fittings shall be seized or taken by any person having by law power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attach or distrain property without previous written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permission of the managing director”.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Plaintiff/Applicant submits that section 88 specifies the kinds of property belonging to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which cannot be attached. The specified kinds of property do not include liquid cash, and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particularly when such funds are in the hands of a third party such as the Garnishee. The Plaintiff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urged the court to make absolute the garnishee orders </w:t>
      </w:r>
      <w:r>
        <w:rPr>
          <w:rFonts w:ascii="Times New Roman" w:hAnsi="Times New Roman" w:cs="Times New Roman"/>
          <w:i/>
          <w:iCs/>
          <w:color w:val="000000"/>
        </w:rPr>
        <w:t>nisi</w:t>
      </w:r>
      <w:r>
        <w:rPr>
          <w:rFonts w:ascii="Times New Roman" w:hAnsi="Times New Roman" w:cs="Times New Roman"/>
          <w:color w:val="000000"/>
        </w:rPr>
        <w:t>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reply, Mr </w:t>
      </w:r>
      <w:r>
        <w:rPr>
          <w:rFonts w:ascii="Times New Roman" w:hAnsi="Times New Roman" w:cs="Times New Roman"/>
          <w:i/>
          <w:iCs/>
          <w:color w:val="000000"/>
        </w:rPr>
        <w:t xml:space="preserve">Kanjama </w:t>
      </w:r>
      <w:r>
        <w:rPr>
          <w:rFonts w:ascii="Times New Roman" w:hAnsi="Times New Roman" w:cs="Times New Roman"/>
          <w:color w:val="000000"/>
        </w:rPr>
        <w:t>advocate stated that it is the norm for the Defendant to appear in Garnishee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proceedings. Mr </w:t>
      </w:r>
      <w:r>
        <w:rPr>
          <w:rFonts w:ascii="Times New Roman" w:hAnsi="Times New Roman" w:cs="Times New Roman"/>
          <w:i/>
          <w:iCs/>
          <w:color w:val="000000"/>
        </w:rPr>
        <w:t xml:space="preserve">Kanjama </w:t>
      </w:r>
      <w:r>
        <w:rPr>
          <w:rFonts w:ascii="Times New Roman" w:hAnsi="Times New Roman" w:cs="Times New Roman"/>
          <w:color w:val="000000"/>
        </w:rPr>
        <w:t>conceded that the Defendant owes the decretal amount. He also concedes that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entitled to the fruits of the judgment in these proceedings. However, he states that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the Defendant has not yet been able to pay the Decretal amount due to the Plaintiff, this court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wrong to issue the orders sought, as the same are prohibited by the provision of section 88 of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Railways Corporation Act. It is the submission of counsel that it was the intention of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 when they enacted the provisions of section 88, to safeguard all the assets of the Defendant.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a similar provision was introduced into the statutes governing all state Corporations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local authorities, with a view to safeguarding the assets of bodies corporate which were entrusted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public statutory duties; the safeguard is meant to shield their assets from Judgment creditors who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seek immediate gratification of the Decrees or orders in their favour.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Kanjama </w:t>
      </w:r>
      <w:r>
        <w:rPr>
          <w:rFonts w:ascii="Times New Roman" w:hAnsi="Times New Roman" w:cs="Times New Roman"/>
          <w:color w:val="000000"/>
        </w:rPr>
        <w:t>submitted that the only recourse available to the Plaintiff would be to proceed by way of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to obtain an order of mandamus directed at the managing director, to compel him to pay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decretal amount. If the managing director failed to comply with such an order the Plaintiff would then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need to apply to court to have him committed to civil jail for contempt of court. Mr </w:t>
      </w:r>
      <w:r>
        <w:rPr>
          <w:rFonts w:ascii="Times New Roman" w:hAnsi="Times New Roman" w:cs="Times New Roman"/>
          <w:i/>
          <w:iCs/>
          <w:color w:val="000000"/>
        </w:rPr>
        <w:t xml:space="preserve">Kanjama </w:t>
      </w:r>
      <w:r>
        <w:rPr>
          <w:rFonts w:ascii="Times New Roman" w:hAnsi="Times New Roman" w:cs="Times New Roman"/>
          <w:color w:val="000000"/>
        </w:rPr>
        <w:t>cited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case to back his submissions, </w:t>
      </w:r>
      <w:r>
        <w:rPr>
          <w:rFonts w:ascii="Times New Roman" w:hAnsi="Times New Roman" w:cs="Times New Roman"/>
          <w:i/>
          <w:iCs/>
          <w:color w:val="000000"/>
        </w:rPr>
        <w:t>Wambugu and Co Advocates v Managing Director Kenya</w:t>
      </w:r>
      <w:r w:rsidR="00193EF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Railways Corporation </w:t>
      </w:r>
      <w:r>
        <w:rPr>
          <w:rFonts w:ascii="Times New Roman" w:hAnsi="Times New Roman" w:cs="Times New Roman"/>
          <w:color w:val="000000"/>
        </w:rPr>
        <w:t>[2001] LLR 4491 (HCK)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193EF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case the Applicant had filed an application pursuant to the provisions of Order XXII, rules 1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10 of the Civil Procedure Rules. In other words, the application was brought under the same rules as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case. It is even more interesting to note that not only is the Garnishee the same party, (Kenya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Bank Limited), but also that the bank account number is exactly the same, ie account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22977358 at the bank’s Moi Avenue Branch, Nairobi. In that case Lenaola J held “that no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execution, or attachment shall be issued against the Kenya Railways Corporation but;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managing director shall, without delay cause to be paid out of the corporation such amounts as may, by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judgment or order be awarded against the corporation to the person entitled to it.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upshot of the above provision is much the same as Mwera J found: - “that the applicant ought to proceed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way of mandamus to compel the Managing Director of the Judgement debtor corporation to pay the sum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claimed”.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perused the provision of section 67 of the Kenya Ports Authority Act Chapter 391 and fount it to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 the same words of Section 88 of the Kenya Railways Corporation Act (Chapter 397).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perusal of section 110 of the Kenya Posts and Telecommunications Corporation Act (Chapter 411)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shows that the limitations imposed by statute on execution against the properties of State Corporation is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same. Section 110 reads as follows: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anything to the contrary in any law: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any judgment or order has been obtained against the corporation, no execution or attachment,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process in the nature thereof shall be issued against the corporation or against any property of the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corporation”.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(The rest of the section is exactly the same as that of section 88 in the Kenya Railways Corporation Act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section 67 in the Kenya Ports Authority Act.)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the wording of section 110 of the Kenya Posts and Telecommunications Corporation Act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be definitely all-inclusive. The said provision restricts execution or attachment against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or against any property of the corporation. It is my view that the said phrase “any property of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Corporation” definitely extends to and includes money in the account of the corporation or any third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who holds such money for the said corporation.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 cardinal rule of interpretation that when a provision enumerates specific matters, the said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is ordinarily deemed to exclude any matters not incorporated therein. I therefore must ask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myself whether or not section 88 of the Kenya Railways Corporation Act is wide enough to include a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restriction against the processes of execution by way of garnishee proceedings. It would appear that that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could have been perhaps better worded (as in the </w:t>
      </w:r>
      <w:r>
        <w:rPr>
          <w:rFonts w:ascii="Times New Roman" w:hAnsi="Times New Roman" w:cs="Times New Roman"/>
          <w:color w:val="000000"/>
        </w:rPr>
        <w:lastRenderedPageBreak/>
        <w:t>case of the Kenya Posts and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Telecommunications Corporation Act, Chapter 411; so that it would have been clear that all execution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attachment was not allowed against all the corporation’s property. But having searched my soul and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hard I find that the first part of the section may be deemed to provide the all inclusive protection to the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corporation’s property. By the first part of the section, I mean the following: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anything to the contrary in any law: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any judgment or order has been obtained against the corporation, no execution or attachment,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process in the nature thereof, shall be issued against the corporation”.</w:t>
      </w:r>
      <w:r w:rsidR="00193EF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garnishee proceedings are a process by which execution is levied against the corporation, in so far as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relates to funds that are held by a third party (in this case Kenya Commercial Bank Limited), in favour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judgment debtor (in this case the Corporation).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arriving at this conclusion, I must say that I sympathise with the decree holder in the difficulties it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experienced in trying to earn the fruits of the judgment. However, this Honourable Court is only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enjoined to make decisions in accordance with the provisions of the law. I am therefore constrained to set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orders made by Nyamu J on 4 December 2003 and proceed so to do.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make the following orders: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(a) The garnishee order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issued on 4 December 2003 is hereby vacated.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The chamber summons dated 4 December 2003 is dismissed.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Each party to bear its own costs.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LM Kambuni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Kambuni &amp; Githae Adv</w:t>
      </w:r>
      <w:r w:rsidR="00193EF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Defendant:</w:t>
      </w:r>
      <w:r w:rsidR="00193E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CN Kanjama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Ochieng’, Onyango, Kibet &amp; Ohaga Adv</w:t>
      </w:r>
      <w:r w:rsidR="00193EFF">
        <w:t xml:space="preserve"> 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F6"/>
    <w:rsid w:val="00193EFF"/>
    <w:rsid w:val="00417FF6"/>
    <w:rsid w:val="00575C55"/>
    <w:rsid w:val="00D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CECD-DA22-4246-8DFA-46C9CA9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2018-07-04T18:29:00Z</dcterms:created>
  <dcterms:modified xsi:type="dcterms:W3CDTF">2018-07-11T12:55:00Z</dcterms:modified>
</cp:coreProperties>
</file>