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Tropical Commodities Suppliers Ltd and others v International Credit Bank</w:t>
      </w:r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Ltd (In Liquidation)</w:t>
      </w:r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13 November 2003</w:t>
      </w:r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132/98</w:t>
      </w:r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Ogoola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44590" w:rsidRDefault="00844590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Stay of execution – Stay of execution by the High Court of its own decision –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and the law applicable – Whether the law applicable in Order 39 or rules of practice derived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Order 39 – Substantial loss – Meaning of substantial loss.</w:t>
      </w:r>
    </w:p>
    <w:p w:rsidR="00844590" w:rsidRDefault="00BA260D" w:rsidP="00BA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OGOOLA J: </w:t>
      </w:r>
      <w:r>
        <w:rPr>
          <w:rFonts w:ascii="Times New Roman" w:hAnsi="Times New Roman" w:cs="Times New Roman"/>
          <w:color w:val="000000"/>
        </w:rPr>
        <w:t>The applicants seek a court order to stay execution of this Court’s judgment pending the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appeal to the Court of Appeal. The background to this application is quite convoluted. A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consent judgment was entered against the applicants for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million. The applicants proceeded to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 a part of that decretal amount to the tune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72 million. Thereafter, the applicants appear to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totally changed their mind one hundred and eighty degrees around. They applied to Court for a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of that consent judgment, on the grounds that their lawyer had no instructions to enter a consent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 On 21 May 2003, this Court refused to review the consent judgment, whereupon the applicants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an appeal to the Court of Appeal against the decision of this Court not to review the consent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 It is in these circumstances that the applicants now come to this Court seeking a stay of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against the consent judgment. On 22 July 2003, the Registrar of this Court granted an interim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execution pending the conclusion of this application.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noteworthy that the application was brought under the former section 101 (now section 98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Chapter 71) of the Civil Procedure Act. This is noteworthy in as much as the applicants saw it fit not to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under Order 39, rule 4(3) of the Civil Procedure Rules. Instead, the applicants resorted to the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inherent powers of this Court under section 98 of Chapter 71. Counsel for the respondent submitted that</w:t>
      </w:r>
    </w:p>
    <w:p w:rsidR="00844590" w:rsidRPr="00BA260D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39 is the applicable law on the point; and that that Order establishes three basic criteria for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applications of this kind. In support of his submission, learned counsel cited the case of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Ltd v Uganda Bottlers </w:t>
      </w:r>
      <w:r>
        <w:rPr>
          <w:rFonts w:ascii="Times New Roman" w:hAnsi="Times New Roman" w:cs="Times New Roman"/>
          <w:color w:val="000000"/>
        </w:rPr>
        <w:t>[1995] LLR 223 (SCU). In that application, the Supreme Court held that: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matter (of stay of execution) is clearly governed by Order 39, rule 4(3) of the Civil Procedure Code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Similarly, the Court of Appeal delivered an identical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DFCU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Lusejjere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number 29 of 2003 affirming the applicability of Order 39, rule 4(3) to applications for stay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the above must be the law, coming as it did from the highest courts in the land, the matter is not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entirely without difficulty. In particular, as the heading to that order clearly indicates, Order 39 applies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to “appeals to the High Court.” Indeed, rule 1(1) of that Order states as much. It says: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“Every appeal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to the High Court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preferred in the form of a memorandum signed by the appellant or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his advocate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presented to the Court </w:t>
      </w:r>
      <w:r>
        <w:rPr>
          <w:rFonts w:ascii="Times New Roman" w:hAnsi="Times New Roman" w:cs="Times New Roman"/>
          <w:color w:val="000000"/>
          <w:sz w:val="20"/>
          <w:szCs w:val="20"/>
        </w:rPr>
        <w:t>or to such officer as it shall appoint in that behalf”.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Similarly, rules 2, 4, 5, 8, 9, 10, 12, 16, 18, 19, 20, 21, 22, 23, 24, 26, 27, 28, 29, 30 and 31 of Order 39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it absolutely clear that the appeals contemplated in that Order are only appeals to the High Court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lower courts; and not appeals from the High Court itself to the higher courts. After all, the higher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have their own rules. The question therefore remains as to whether the rules in Order 39 are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for appeals (such as the appeal lodged in the instant matter) from the High Court to the Court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answer to the above question would on the face of it appear to have been firmly adjudicated and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settled once and for all by the Supreme Court itself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Kyazze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Busingye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[1990] LLR 190 (SCU). In that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the Court first dealt with a careful analysis of the different provisions of the Civil Procedure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which provide for appeals from or to the High Court, namely: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68, which provides for appeals from original decrees and orders of the High Court to the (then)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Supreme Court (now Court of Appeal);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74, which provides for appeals from appellate decrees of the High Court to the (then) Supreme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Court;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77, which provides for appeals from orders given under original jurisdiction in a number of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 instances as of right, and subject to the Civil Procedure Rules.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Order 40 of the Civil Procedure Rules, whose combined effect with sections 68 and 77 above is to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 for appeals as of right from certain orders, and appeals with leave in the case of other orders.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setting forth the above lucid analysis, their Lordships of the Supreme Court then stated quite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categorically that: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“There is no provision in any of the legislation for a stay of execution, and when one looks at Order 39 one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finds with some surprise that those rules only govern appeals to the High Court and not from the High Court.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made more poignant because there are the usual rules concerning a stay of execution relating to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appeals to the High Court”.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the omission of a specific rule in this behalf is a glaring lacuna in the law. It was seen as a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problem by the Supreme Court itself. In this regard, their lordships vented their frustration thus: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“Why was provision not made for a stay of execution in appeals from the High Court? The main reason seems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have been the statutory power of granting a stay of execution given to the Supreme Court in rule 5(2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of Appeal Rules. In that case, why make provision for the High Court to hear applications first in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41?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Had the legislation wished to make provision for a stay of execution in the High Court that could have been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done as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Singh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Coffee Estate Ltd </w:t>
      </w:r>
      <w:r>
        <w:rPr>
          <w:rFonts w:ascii="Times New Roman" w:hAnsi="Times New Roman" w:cs="Times New Roman"/>
          <w:color w:val="000000"/>
          <w:sz w:val="20"/>
          <w:szCs w:val="20"/>
        </w:rPr>
        <w:t>[1966] EA 263 will illustrate, such provision having been made in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Kenya. For some reason similar provision was not made in Uganda. It is also significant that power to grant a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stay of execution is given to the High Court in cases of appeals to the High Court (but not from the High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Court)”.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one firm conclusion to be drawn from the above is that Order 39 does not apply to appeals from the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to the higher courts, but only to appeals from the lower courts to the High Court. The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Supreme Court has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this anomaly in the statutory law of the land. It is to be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anomaly or lacuna exists only in one respect (that is in the statutory rules of procedure only).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Otherwise, as so ably stated by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P (as he then was)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Advocates v National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Insurance Corporation </w:t>
      </w:r>
      <w:r>
        <w:rPr>
          <w:rFonts w:ascii="Times New Roman" w:hAnsi="Times New Roman" w:cs="Times New Roman"/>
          <w:color w:val="000000"/>
        </w:rPr>
        <w:t>Supreme Court civil application number 3 of 1984 (UR):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well established that the High Court has inherent jurisdiction to stay any of its orders, see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Kaggwa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Kawalya-Kaggwa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administration cause number 21 of 1972 ULR 129;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Singh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Coffee Estate Ltd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[1966] EA 263”.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fill the statutory lacuna then, the Supreme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Kyazze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proceeded to enunciate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procedures, principles and practice, as follows: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practice that this Court should adopt, is that in general application for a stay should be made informally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Judge who decided the case when judgment is delivered. The Judge may direct that a formal motion be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presented on notice (Order XLVII, rule 1) after notice of appeal has been filed. He may in the meantime grant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temporary stay for this to be done. The parties asking for a stay should be prepared to meet the conditions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set out in Order 39, rule 4(3) of the Civil Procedure Rules. The temporary application may be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>. If the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is refused, the parties may then apply to the Supreme Court under rule 5(2)(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Court of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Rules where again they should be prepared to meet conditions similar to those set out in Order 39,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4(3)”.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are rules of practice. Indeed, even though they are derived from Order 39, they are only rules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practice. They are not a statutory edict or enactment. That being the case, it is extremely perplexing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that the same Supreme Court in the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  <w:r>
        <w:rPr>
          <w:rFonts w:ascii="Times New Roman" w:hAnsi="Times New Roman" w:cs="Times New Roman"/>
          <w:color w:val="000000"/>
        </w:rPr>
        <w:t>’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which was heard and decided in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1995 (that is some five years after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Kyazze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case), came out boldly to declare quite emphatically that: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matter is clearly governed by Order 39, rule 4(3) of the Civil Procedure Code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)”.</w:t>
      </w:r>
    </w:p>
    <w:p w:rsidR="00844590" w:rsidRPr="00BA260D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compound matters, the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  <w:r>
        <w:rPr>
          <w:rFonts w:ascii="Times New Roman" w:hAnsi="Times New Roman" w:cs="Times New Roman"/>
          <w:color w:val="000000"/>
        </w:rPr>
        <w:t xml:space="preserve">’ case, as well as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Lusejjer</w:t>
      </w:r>
      <w:proofErr w:type="spellEnd"/>
      <w:r>
        <w:rPr>
          <w:rFonts w:ascii="Times New Roman" w:hAnsi="Times New Roman" w:cs="Times New Roman"/>
          <w:color w:val="000000"/>
        </w:rPr>
        <w:t>’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went even a step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to categorically assert that Order 39, rule 4(3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requires the applicants to deposit in court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“for costs” only, yet the plain, unequivocal language of that paragraphs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requires the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to give: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“security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for the due performance of such decree or order as may ultimately be binding upon him.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 the above two Supreme Court decisions give rise to a patent conflict and contradiction. Either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39 applies (as contended in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  <w:r>
        <w:rPr>
          <w:rFonts w:ascii="Times New Roman" w:hAnsi="Times New Roman" w:cs="Times New Roman"/>
          <w:color w:val="000000"/>
        </w:rPr>
        <w:t xml:space="preserve">), or it does not (as positively affirmed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Kyazze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Moreover, either the security required to be deposited in court during a stay of execution is only security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costs (as asserted in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  <w:r>
        <w:rPr>
          <w:rFonts w:ascii="Times New Roman" w:hAnsi="Times New Roman" w:cs="Times New Roman"/>
          <w:color w:val="000000"/>
        </w:rPr>
        <w:t>), or it is security of the whole decretal amount (as plainly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in Order 39, rule 4(3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)).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quite evident, given all the above difficulties that the position on these points is badly and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urgently in need of a clear restatement of the law. This could possibly be done by the Supreme Court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itself, at the earliest available opportunity, in order to straighten out the area of our jurisprudence.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Conversely, the Civil Procedure Rules could be expressly amended (at the behest of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Chief Justice, through the rules committee). The aim of such an amendment would not only be to iron out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rough edges discussed above, but also to generally enrich and update this area of our rules of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procedure. In this connection, I wholeheartedly endorse the sentiments expressed by my brother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J, in the similar ruling that his Lordship delivered only one week ago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Tahar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Fourati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Hotels Ltd v Nile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Hotel International Ltd </w:t>
      </w:r>
      <w:r>
        <w:rPr>
          <w:rFonts w:ascii="Times New Roman" w:hAnsi="Times New Roman" w:cs="Times New Roman"/>
          <w:color w:val="000000"/>
        </w:rPr>
        <w:t>High Court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application number 614 of 2003, to the effect that the rules committee should take its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 to attend this clear gap in our Rules of Civil Procedure.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that as it may, this Court must abide by the above decisions of the Supreme Court and of the Court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Appeal, which have established three conditions for the determination of applications for stay of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execution, namely: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substantial loss may result to the applicants unless the order of stay is made;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application has been made without unreasonable delay; and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security for costs has been given by the applicants.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application, the applicants averred that substantial loss may result if execution proceeds in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much as the appeal would be rendered nugatory. As the Court of Appeal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Lusejjere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the paramount duty of a Court to which an application for stay of execution pending an appeal is made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see that appeal, if successful, is not rendered nugatory: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Wilson v Church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[1879] 12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 454”.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regard, the applicants noted that the respondent, who is the judgment creditor, is already in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liquidation. Therefore, if all the decretal amount is now recovered through execution of the decree, and if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then succeed on appeal, they would find it extremely difficult to recover that money from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liquidation. I wholly agree that by reason of the respondent banks closure for solvency and its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ongoing liquidation the situation is rendered dicey for the applicants.</w:t>
      </w:r>
    </w:p>
    <w:p w:rsidR="00BA260D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Nonetheless, the applicants’ difficulties in recouping their money from the liquidated bank is only one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consideration. The other consideration is whether the loss, if any, arising from those difficulties would be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substantial. Hence, the question needs to be asked as to what in law constitutes “substantial loss”. In my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substantial loss need not be determined by a mathematical formula whose computation yields any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 amount. Indeed,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Jowitt’s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Dictionary of English Law </w:t>
      </w:r>
      <w:r>
        <w:rPr>
          <w:rFonts w:ascii="Times New Roman" w:hAnsi="Times New Roman" w:cs="Times New Roman"/>
          <w:color w:val="000000"/>
        </w:rPr>
        <w:t xml:space="preserve">(2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2, at 1713, carefully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defines the analogous concept of “substantial damages” as:</w:t>
      </w:r>
      <w:r w:rsidR="00BA260D">
        <w:rPr>
          <w:rFonts w:ascii="Times New Roman" w:hAnsi="Times New Roman" w:cs="Times New Roman"/>
          <w:color w:val="000000"/>
        </w:rPr>
        <w:t xml:space="preserve"> </w:t>
      </w:r>
    </w:p>
    <w:p w:rsidR="00844590" w:rsidRPr="00BA260D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damages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which represent actual loss, whether great or small</w:t>
      </w:r>
      <w:r>
        <w:rPr>
          <w:rFonts w:ascii="Times New Roman" w:hAnsi="Times New Roman" w:cs="Times New Roman"/>
          <w:color w:val="000000"/>
          <w:sz w:val="20"/>
          <w:szCs w:val="20"/>
        </w:rPr>
        <w:t>, as opposed to nominal damages”.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added)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similar vein,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 xml:space="preserve">(6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) at 1428 defines the word “substantial” as,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“Of real worth an importance, not seeming or imaginary or illusive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Seglem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Skelly Oil Co </w:t>
      </w:r>
      <w:r>
        <w:rPr>
          <w:rFonts w:ascii="Times New Roman" w:hAnsi="Times New Roman" w:cs="Times New Roman"/>
          <w:color w:val="000000"/>
          <w:sz w:val="20"/>
          <w:szCs w:val="20"/>
        </w:rPr>
        <w:t>145 KAN 216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page 2d 553, 554. Something worthwhile as distinguished from something without value or merely nominal –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 Krause’s Estate </w:t>
      </w:r>
      <w:r>
        <w:rPr>
          <w:rFonts w:ascii="Times New Roman" w:hAnsi="Times New Roman" w:cs="Times New Roman"/>
          <w:color w:val="000000"/>
          <w:sz w:val="20"/>
          <w:szCs w:val="20"/>
        </w:rPr>
        <w:t>173 WASH 1, 21p 2d 268”.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conclusion is inescapable. Substantial loss does not represent any particular amount or size. It cannot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quantified by any particular mathematical formula. Rather, it is a qualitative concept. It refers to any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loss, great or small, that is of real worth or value, as distinguished from a loss without value or a loss that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merely nominal.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light of the above definitions, and given the fact that the respondent is in liquidation, there can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no doubt but that the applicants are likely to suffer substantial loss if execution of the decree is not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stayed pending disposal of the appeal.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the criterion of delay, I am equally satisfied that the applicants have been extremely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diligent in lodging the appeal, and in prosecuting this application. The Court’s ruling (in Miscellaneous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Number 67 of 2002) against which the applicants have now appealed, was delivered on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21 May 2003. The applicants then applied for and were granted an interim stay of execution of 22 July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2003. Thereafter, the appeal was filed on 3 September 2003 as Civil Appeal Number 96 of 2003, and was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promptly served on the respondent’s counsel. I am thus satisfied that the application has been made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unreasonable delay.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leaves only the third criterion, namely payment of security. The applicants did not offer any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security. The respondent for its part sought security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137.5 million, representing the entire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the decretal amount. Here again, as discussed elsewhere in this ruling, we are faced with yet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difficulty from the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  <w:r>
        <w:rPr>
          <w:rFonts w:ascii="Times New Roman" w:hAnsi="Times New Roman" w:cs="Times New Roman"/>
          <w:color w:val="000000"/>
        </w:rPr>
        <w:t>’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In that case, their Lordships of the Supreme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talked in terms of “security of costs”. Similarly,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Lusejjere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Court of Appeal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 categorical statement that: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“Under Order 39, rule 4(3) of the Civil Procedure Rules an application for stay of execution pending an</w:t>
      </w:r>
      <w:r w:rsidR="00BA26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must be accompanied by payments of security for costs”.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Yet, Order 39, rule 4(3) talks generally in terms of “security”, without qualification or limitation as to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“</w:t>
      </w:r>
      <w:proofErr w:type="gramStart"/>
      <w:r>
        <w:rPr>
          <w:rFonts w:ascii="Times New Roman" w:hAnsi="Times New Roman" w:cs="Times New Roman"/>
          <w:color w:val="000000"/>
        </w:rPr>
        <w:t>costs</w:t>
      </w:r>
      <w:proofErr w:type="gramEnd"/>
      <w:r>
        <w:rPr>
          <w:rFonts w:ascii="Times New Roman" w:hAnsi="Times New Roman" w:cs="Times New Roman"/>
          <w:color w:val="000000"/>
        </w:rPr>
        <w:t>”, etc. indeed, Order 39, rule 4(3)(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requires payment of: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“security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by the applicants for the due performance of such decree or order as may ultimately be binding</w:t>
      </w:r>
      <w:r w:rsidR="00BA260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upon him</w:t>
      </w:r>
      <w:r>
        <w:rPr>
          <w:rFonts w:ascii="Times New Roman" w:hAnsi="Times New Roman" w:cs="Times New Roman"/>
          <w:color w:val="000000"/>
          <w:sz w:val="20"/>
          <w:szCs w:val="20"/>
        </w:rPr>
        <w:t>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quoted language seems to embrace security for the entire decretal amount, rather than merely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for the costs of the appeal. This conclusion is fortified further by the existence of such other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(particularly rule 9 of the same Order 39) which explicitly confer on the Court a discretionary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“demand from the appellant security for the costs of the appeal”. It is quite evident then that the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mentioned elsewhere (especially in rules 4 and 5 of that same Order) cannot be security for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costs. Yet their Lordships of the Supreme Court in </w:t>
      </w:r>
      <w:r>
        <w:rPr>
          <w:rFonts w:ascii="Times New Roman" w:hAnsi="Times New Roman" w:cs="Times New Roman"/>
          <w:i/>
          <w:iCs/>
          <w:color w:val="000000"/>
        </w:rPr>
        <w:t>Kampala Bottlers</w:t>
      </w:r>
      <w:r>
        <w:rPr>
          <w:rFonts w:ascii="Times New Roman" w:hAnsi="Times New Roman" w:cs="Times New Roman"/>
          <w:color w:val="000000"/>
        </w:rPr>
        <w:t>’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categorically held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“Under Order 39, rule 4(3) the applicants must show: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proofErr w:type="gramEnd"/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proofErr w:type="gramEnd"/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security for costs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given by the applicants.”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Again, regarding this particular difficulty, this Court must abide by the holding of the Supreme Court.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in the instant case, for the application to succeed the applicants must be willing to give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for costs, rather than security for the entire decretal amount as pressed by the respondent’s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counsel. In my view that requirement is eminently more just. Insistence on a policy or practice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mandates security for the entire decretal amount is likely to stifle possible appeals, especially in a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Commercial Court, such as ours, where the underlying transactions typically tend to lead to colossal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decretal amounts. In the circumstances of this case a figure of about 10% of the decretal amount (of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million) would appear to be quite adequate, if the applicants are willing and ready to pay it.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hereby granted, on condition that the applicants must pay into Court a total sum of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as security for the costs of his appeal.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amount is to be paid into this Court not later than 14 December 2003. In the meantime, the interim</w:t>
      </w:r>
      <w:r w:rsidR="00BA26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execution that was granted by the Registrar of this Court will continue in force (until that date).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and third applicants:</w:t>
      </w:r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Ejalu</w:t>
      </w:r>
      <w:proofErr w:type="spellEnd"/>
    </w:p>
    <w:p w:rsidR="00844590" w:rsidRDefault="00844590" w:rsidP="00844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844590" w:rsidP="00844590">
      <w:r>
        <w:rPr>
          <w:rFonts w:ascii="Times New Roman" w:hAnsi="Times New Roman" w:cs="Times New Roman"/>
          <w:i/>
          <w:iCs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90"/>
    <w:rsid w:val="0021070D"/>
    <w:rsid w:val="00844590"/>
    <w:rsid w:val="00B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796D8-CCB8-4F3D-90CA-6690C06E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2018-07-04T13:13:00Z</dcterms:created>
  <dcterms:modified xsi:type="dcterms:W3CDTF">2018-07-11T12:34:00Z</dcterms:modified>
</cp:coreProperties>
</file>