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Trust Bank Ltd v Eros Chemists Ltd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June 2000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133/99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Mortgage – Mortgagee’s statutory power of sale – Mandatory notice of sale to mortgagor – Purpose</w:t>
      </w:r>
      <w:r w:rsidR="00C37F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of the statutory notice – Requirements for a valid notice – Three months from service of notice – Whether</w:t>
      </w:r>
      <w:r w:rsidR="00C37F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 notice that provided for a lesser period was valid – Section 69A – Transfer of Property Act of 1882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(India).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Precedent – Existence of conflicting Court of Appeal judgments – Previous decisions</w:t>
      </w:r>
      <w:r w:rsidR="00C37F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ordinarily binding on the Court – Court retains the discretion to depart from previous decision when</w:t>
      </w:r>
      <w:r w:rsidR="00C37F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necessary.</w:t>
      </w:r>
    </w:p>
    <w:p w:rsidR="00C37F75" w:rsidRDefault="00C37F75" w:rsidP="00C37F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JUDGEMENT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OMOLO, LAKHA,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BOSIRE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AND KEIWUA JJA: </w:t>
      </w:r>
      <w:r>
        <w:rPr>
          <w:rFonts w:ascii="Times New Roman" w:hAnsi="Times New Roman" w:cs="Times New Roman"/>
          <w:color w:val="000000"/>
        </w:rPr>
        <w:t>This is an appeal by the unsuccessful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Defendant (“the bank”) from a ruling of the superior court (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J) given on 27 April 1999. It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a question as to the legal effect of a notice given by a mortgagee under section </w:t>
      </w:r>
      <w:proofErr w:type="gramStart"/>
      <w:r>
        <w:rPr>
          <w:rFonts w:ascii="Times New Roman" w:hAnsi="Times New Roman" w:cs="Times New Roman"/>
          <w:color w:val="000000"/>
        </w:rPr>
        <w:t>69A(</w:t>
      </w:r>
      <w:proofErr w:type="gramEnd"/>
      <w:r>
        <w:rPr>
          <w:rFonts w:ascii="Times New Roman" w:hAnsi="Times New Roman" w:cs="Times New Roman"/>
          <w:color w:val="000000"/>
        </w:rPr>
        <w:t>1)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Transfer of Property Act before the exercise of the statutory power of sale.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his ruling the judge granted the application made to him by the Plaintiff by way of a chamber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dated 7 April 1999 whereby he restrained the Defendants themselves, their servants or agents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selling, disposing or in any other way dealing with the Plaintiff’s property, LR No 1870/X/60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maisonette</w:t>
      </w:r>
      <w:proofErr w:type="spellEnd"/>
      <w:r>
        <w:rPr>
          <w:rFonts w:ascii="Times New Roman" w:hAnsi="Times New Roman" w:cs="Times New Roman"/>
          <w:color w:val="000000"/>
        </w:rPr>
        <w:t xml:space="preserve"> number 5 at Ring Road </w:t>
      </w:r>
      <w:proofErr w:type="spellStart"/>
      <w:r>
        <w:rPr>
          <w:rFonts w:ascii="Times New Roman" w:hAnsi="Times New Roman" w:cs="Times New Roman"/>
          <w:color w:val="000000"/>
        </w:rPr>
        <w:t>Westlands</w:t>
      </w:r>
      <w:proofErr w:type="spellEnd"/>
      <w:r>
        <w:rPr>
          <w:rFonts w:ascii="Times New Roman" w:hAnsi="Times New Roman" w:cs="Times New Roman"/>
          <w:color w:val="000000"/>
        </w:rPr>
        <w:t xml:space="preserve"> (the suit property) until the hearing and disposal of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can be shortly stated. The First Respondent is and at all material times was the owner of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property. It was also a customer operating an account with the Appellant who was a holder of a legal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over the suit property. On 24 March 1999 there appeared a notice in a daily newspaper by the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Respondent on the bank’s instructions advertising the sale by public auction of the suit property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held on 8 April 1999. Thereupon the Plaintiff commenced a suit in the superior court against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and the Second Respondent (“the auctioneers”) claiming a declaration that the intended sale was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patently illegal.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same day the Plaintiff also filed an application for an injunction restraining the intended sale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in breach of the statutory mandatory requirement of the law the bank did not serve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requisite notice. The bank, however, contended that it had served notices by its advocate’s letters of 2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January and 5 February 1999.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perhaps convenient at this stage to set out the statutory provision and the relevant parts of the said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notices. Section </w:t>
      </w:r>
      <w:proofErr w:type="gramStart"/>
      <w:r>
        <w:rPr>
          <w:rFonts w:ascii="Times New Roman" w:hAnsi="Times New Roman" w:cs="Times New Roman"/>
          <w:color w:val="000000"/>
        </w:rPr>
        <w:t>69A(</w:t>
      </w:r>
      <w:proofErr w:type="gramEnd"/>
      <w:r>
        <w:rPr>
          <w:rFonts w:ascii="Times New Roman" w:hAnsi="Times New Roman" w:cs="Times New Roman"/>
          <w:color w:val="000000"/>
        </w:rPr>
        <w:t>1) of the Transfer of Property Act provides as follows: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mortgagee shall not exercise the mortgagee’s statutory power of sale unless and until notice requiring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the mortgage money has been served upon the mortgagor or one or two or more mortgagors, and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default has been made in payment of the mortgage money or of part thereof for three months after such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service; or …”.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relevant and material part of the Bank’s letter of 2 January 1999 states: “Unless we receive your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remittance for the said sum together with the amount due in respect of interest within 14 days from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hereof, our instructions are to sell by public auction the immovable property charged to our client by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security …”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that of 5 February 1996 states,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“Unless we receive your remittance for the said sum of KShs14 711 734-70 together with the amount due in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interest from the 1 January 1996 until payment in full within 14 days from the date hereof, time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of the essence, our instructions are to institute legal proceedings against you for the recovery thereof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any further notice to you whatsoever and you shall be liable for all costs and expenses (including</w:t>
      </w:r>
      <w:r w:rsidR="00C37F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fees and legal costs) arising from and incidental to such legal action”.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conclusion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interpartes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8 April 1999 the judge indicated that for reasons which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would give on 27 April 1999 he would allow the application dated 7 April 1999 in terms of prayer 3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color w:val="000000"/>
        </w:rPr>
        <w:lastRenderedPageBreak/>
        <w:t xml:space="preserve">the said </w:t>
      </w:r>
      <w:r w:rsidR="00C37F75">
        <w:rPr>
          <w:rFonts w:ascii="Times New Roman" w:hAnsi="Times New Roman" w:cs="Times New Roman"/>
          <w:color w:val="000000"/>
        </w:rPr>
        <w:t>application that</w:t>
      </w:r>
      <w:r>
        <w:rPr>
          <w:rFonts w:ascii="Times New Roman" w:hAnsi="Times New Roman" w:cs="Times New Roman"/>
          <w:color w:val="000000"/>
        </w:rPr>
        <w:t xml:space="preserve"> is, for an injunction restraining the sale of the suit property until the hearing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disposal of the suit. The judge duly delivered his ruling on 27 April 1999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he held,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none of the notices from the bank’s advocate constituted a notice under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69A(1) of the Transfer of Property Act which also led him to the conclusion that the Plaintiff had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probability of success. The judge also held that the Plaintiff’s loss, if any,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irreparable and that the Plaintiff did not come to Court with clean hands as its managing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was not honest when he said that the first time he came to know of the impending sale of the suit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was when he read of it in the local daily; he clearly had notification of sale in the bank’s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advocate’s letter of 2 February 1999.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aggrieved by this decision of the superior court the First Defendant has now appealed to this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Court. Each of the findings of the judge as set out above has given rise to a ground of appeal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C37F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>
        <w:rPr>
          <w:rFonts w:ascii="Times New Roman" w:hAnsi="Times New Roman" w:cs="Times New Roman"/>
          <w:color w:val="000000"/>
        </w:rPr>
        <w:t>, advocate for the Appellant, has argued intensively and interestingly. We now turn to consider each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them, but before doing so we record that the Second Respondent, the auctioneers, were neither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nor appeared at the hearing of the appeal before this Court thus depriving this Court of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 of any submissions that might have been made on their behalf.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judgment, the heart of this appeal lies in the central question as to what constitutes a valid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under section </w:t>
      </w:r>
      <w:proofErr w:type="gramStart"/>
      <w:r>
        <w:rPr>
          <w:rFonts w:ascii="Times New Roman" w:hAnsi="Times New Roman" w:cs="Times New Roman"/>
          <w:color w:val="000000"/>
        </w:rPr>
        <w:t>69A(</w:t>
      </w:r>
      <w:proofErr w:type="gramEnd"/>
      <w:r>
        <w:rPr>
          <w:rFonts w:ascii="Times New Roman" w:hAnsi="Times New Roman" w:cs="Times New Roman"/>
          <w:color w:val="000000"/>
        </w:rPr>
        <w:t>1) of the Transfer of Property Act. The construction accorded to this section 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free from authority. In </w:t>
      </w:r>
      <w:r>
        <w:rPr>
          <w:rFonts w:ascii="Times New Roman" w:hAnsi="Times New Roman" w:cs="Times New Roman"/>
          <w:i/>
          <w:iCs/>
          <w:color w:val="000000"/>
        </w:rPr>
        <w:t xml:space="preserve">Russell Co Ltd v Commercial Bank of Africa Ltd and another </w:t>
      </w:r>
      <w:r>
        <w:rPr>
          <w:rFonts w:ascii="Times New Roman" w:hAnsi="Times New Roman" w:cs="Times New Roman"/>
          <w:color w:val="000000"/>
        </w:rPr>
        <w:t>[1991] LLR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1415 (CAK) delivered on 15 October 1993 this Court held that section 69A(1) did not require the three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months’ period to be stated in the notice nor did its absence vitiate the notice or render it illegal. On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hand, in </w:t>
      </w:r>
      <w:r>
        <w:rPr>
          <w:rFonts w:ascii="Times New Roman" w:hAnsi="Times New Roman" w:cs="Times New Roman"/>
          <w:i/>
          <w:iCs/>
          <w:color w:val="000000"/>
        </w:rPr>
        <w:t xml:space="preserve">Trust Bank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Okoth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[2000] 1 EA 274 (CAK) delivered on 14 January 2000, this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held that the notice is required expressly to specify the period of three months upon the expiry of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mortgagee shall sell the suit property failing which the notice would be invalid and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mortgagee’s power of sale would not have accrued rendering the sale invalid.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this state of authorities, the existence of two conflicting decisions of the Court, in our judgment,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raises questions of considerable difficulty which can only be resolved by application of first principles.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is, we think, beyond dispute that since the establishment of this Court in 1977 it ceased to hold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of an intermediate appellate court but became a final Court of Appeal for the sovereign State of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Kenya. Its position is analogous to that of the House of Lords. The decisions of the House of Lords upon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of law are normally considered by the House to be binding upon itself, but because too rigid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adherence to precedence may lead to injustice in a particular case and unduly restrict the proper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 of the law the House will depart from a previous decision when it appears right to do so. So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this Court. For these reasons we are satisfied that as a matter of judicial policy this Court, as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Court of Appeal for Kenya, while it will normally regard a previous decision of its own as binding,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free in both civil and criminal cases to depart from such a previous decision when it appears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do so.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next question is whether the decision of this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Russell </w:t>
      </w:r>
      <w:r>
        <w:rPr>
          <w:rFonts w:ascii="Times New Roman" w:hAnsi="Times New Roman" w:cs="Times New Roman"/>
          <w:color w:val="000000"/>
        </w:rPr>
        <w:t>case was a wrong decision. It 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immaterial if the earlier decision had been by a majority (which it was not) although we must add that a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 judgment cannot but cast some doubt on the correctness of the decision of the majority.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carefully studied the decision and it appears to us that the only reason why it was held that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months’ period stipulated in section 69A(1) of the Transfer of Property Act need not be specifically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in the notice to sell is because this is not so stated in the statute.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starting point of any discussion as to whether there should be an express statutory requirement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notice should refer to the three months period is to consider what the object of a notice is. In our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the notice is to guard the rights of the mortgagor because if the statutory right of sale 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the mortgagor’s equity of redemption would be extinguished. This would be a serious matter.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law clearly intended to protect the mortgagor in his right to redeem and warn of an intended right of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sale. For that right to accrue the statute provided for a three month’s period to lapse after service of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notice. In our judgment, a notice seeking to sell the charged property must expressly state that the sale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take place after the three months’ period. To omit to say so or to state a period of less than three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months for sale (as in the </w:t>
      </w:r>
      <w:r>
        <w:rPr>
          <w:rFonts w:ascii="Times New Roman" w:hAnsi="Times New Roman" w:cs="Times New Roman"/>
          <w:i/>
          <w:iCs/>
          <w:color w:val="000000"/>
        </w:rPr>
        <w:t xml:space="preserve">Russell </w:t>
      </w:r>
      <w:r>
        <w:rPr>
          <w:rFonts w:ascii="Times New Roman" w:hAnsi="Times New Roman" w:cs="Times New Roman"/>
          <w:color w:val="000000"/>
        </w:rPr>
        <w:t>case) is to deny the mortgagor a right conferred upon him by statute.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clearly must render the notice invalid.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 our judgment, with respect, there is a mandatory requirement that a statutory right to sell will not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 unless and until three months’ notice is given. We consider that the provision as to the length of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is a positive and obligatory one; failing obedience to it a notice is not valid. That being so, it seems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us that in failing to have the notice to say so, the bank failed to give a valid notice, with the result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 of sale did not accrue under such a notice. Without any hesitation, the notice in the </w:t>
      </w:r>
      <w:r>
        <w:rPr>
          <w:rFonts w:ascii="Times New Roman" w:hAnsi="Times New Roman" w:cs="Times New Roman"/>
          <w:i/>
          <w:iCs/>
          <w:color w:val="000000"/>
        </w:rPr>
        <w:t xml:space="preserve">Russell </w:t>
      </w:r>
      <w:r>
        <w:rPr>
          <w:rFonts w:ascii="Times New Roman" w:hAnsi="Times New Roman" w:cs="Times New Roman"/>
          <w:color w:val="000000"/>
        </w:rPr>
        <w:t>case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threatening a sale of the charged property on a 14 days’ notice was an invalid notice for accrual of a right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sale.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is, however, of interest to add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The Transfer of Property Act </w:t>
      </w:r>
      <w:r>
        <w:rPr>
          <w:rFonts w:ascii="Times New Roman" w:hAnsi="Times New Roman" w:cs="Times New Roman"/>
          <w:color w:val="000000"/>
        </w:rPr>
        <w:t xml:space="preserve">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602 states as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 “No form of notice is prescribed. It is sufficient that the notice gives the mortgagor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period of warning”.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final consideration on the first issue is whether, having come to the conclusion that this Court 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 to depart from its own decision and that the Court’s decision in the </w:t>
      </w:r>
      <w:r>
        <w:rPr>
          <w:rFonts w:ascii="Times New Roman" w:hAnsi="Times New Roman" w:cs="Times New Roman"/>
          <w:i/>
          <w:iCs/>
          <w:color w:val="000000"/>
        </w:rPr>
        <w:t xml:space="preserve">Russell </w:t>
      </w:r>
      <w:r>
        <w:rPr>
          <w:rFonts w:ascii="Times New Roman" w:hAnsi="Times New Roman" w:cs="Times New Roman"/>
          <w:color w:val="000000"/>
        </w:rPr>
        <w:t>case was wrong, this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should now give a decision contrary to that given by this Court earlier. We have found this matter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greatest difficulty. The earlier decision, with respect, is erroneous and surely this Court is not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to perpetuate an error. It is a recent one and has not acquired the respect and following attributable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age. Moreover, it is unlikely that property rights have been acquired on the basis of the earlier decision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indeed it is the duty of this Court to rectify an erroneous decision. With considerable hesitancy we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come to the conclusion that this Court should declare, as we hereby do, that the decision of this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Russell </w:t>
      </w:r>
      <w:r>
        <w:rPr>
          <w:rFonts w:ascii="Times New Roman" w:hAnsi="Times New Roman" w:cs="Times New Roman"/>
          <w:color w:val="000000"/>
        </w:rPr>
        <w:t>case is wrong. We uphold the Learned Judge in his finding that the notice in the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case did not entitle the mortgagee to exercise a power of sale.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to the Learned Judge’s finding that there was no irreparable damage established, we think that he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plainly right. Of course, purely financial damage could not be regarded in principle as irreparable. A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refusal or grant of injunction, however, is essentially a matter of discretion to be exercised judicially and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all the circumstances of the case into consideration, the Learned Judge could not attach decisive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to the question of irreparable damage since he had already held that the notice was invalid.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urged that the managing director of the First Respondent was dishonest. The judge did consider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factor but at the end of the day and in the exercise of his discretion he was of the view, which we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accept, that an order of costs would meet the justice of the case.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satisfied that the Learned Judge dealt fully with the application before him and has not erred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principle or otherwise. There are no grounds upon which his discretion can be successfully challenged</w:t>
      </w:r>
      <w:r w:rsidR="00C37F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Court.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and for all the reasons above stated, this appeal fails and we dismiss it with costs.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D17F2C" w:rsidRDefault="00D17F2C" w:rsidP="00D1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D17F2C" w:rsidP="00D17F2C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2C"/>
    <w:rsid w:val="003F18BF"/>
    <w:rsid w:val="00C37F75"/>
    <w:rsid w:val="00CC4B2F"/>
    <w:rsid w:val="00D1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C75D-6D5E-4296-9BB2-448F56A9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2018-07-05T11:06:00Z</dcterms:created>
  <dcterms:modified xsi:type="dcterms:W3CDTF">2018-07-11T12:27:00Z</dcterms:modified>
</cp:coreProperties>
</file>