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Tumukunde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 and another</w:t>
      </w:r>
    </w:p>
    <w:p w:rsidR="00A317E2" w:rsidRDefault="00AB5BF3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</w:t>
      </w:r>
      <w:r w:rsidR="00A317E2">
        <w:rPr>
          <w:rFonts w:ascii="Times New Roman" w:hAnsi="Times New Roman" w:cs="Times New Roman"/>
          <w:b/>
          <w:bCs/>
          <w:color w:val="000000"/>
        </w:rPr>
        <w:t xml:space="preserve">ivision: </w:t>
      </w:r>
      <w:r w:rsidR="00A317E2">
        <w:rPr>
          <w:rFonts w:ascii="Times New Roman" w:hAnsi="Times New Roman" w:cs="Times New Roman"/>
          <w:color w:val="000000"/>
        </w:rPr>
        <w:t>Constitutional Court of Uganda at Kampala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2005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6/05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DCJ,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Constitutional law – Parliament – Duties of a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member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Parliament representing the UPDF –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Conflict between duties and oath to Parliament – Freedom to.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Constitutional law – Parliament – Resignation letter of a Member of Parliament – Duty to inquire</w:t>
      </w:r>
      <w:r w:rsidR="00AB5BF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into the reasons for writing the resignation letter – Duty of the Speaker on receiving the resignation</w:t>
      </w:r>
      <w:r w:rsidR="00AB5BF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letter – Duty to inform the Electoral Commission.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Constitutional law – Presidency – Whether President can be subjected to court proceedings while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holding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office.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petitioner was a member of the Uganda People’s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Forces (UPDF) and a member of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Parliament, representing the UPDF. As a result of his comments, the petitioner was directed by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President, as Commander-in-Chief of UPDF, to write to the Speaker tendering his resignation. 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subsequently</w:t>
      </w:r>
      <w:proofErr w:type="gramEnd"/>
      <w:r>
        <w:rPr>
          <w:rFonts w:ascii="Times New Roman" w:hAnsi="Times New Roman" w:cs="Times New Roman"/>
          <w:color w:val="000000"/>
        </w:rPr>
        <w:t xml:space="preserve"> wrote the resignation letter and was arrested thereafter and charged in a court martial.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Subsequently, the petitioner filed this petition seeking,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alia, </w:t>
      </w:r>
      <w:r>
        <w:rPr>
          <w:rFonts w:ascii="Times New Roman" w:hAnsi="Times New Roman" w:cs="Times New Roman"/>
          <w:color w:val="000000"/>
        </w:rPr>
        <w:t>declarations that the actions of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Commander-in Chief and the army commander directing him to resign contravened Articles 80, 83 and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84 of the Constitution; that the Speaker’s action in accepting and declaring his seat vacant, on the basis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his letter, contravenes section 83(1), 80 and 84 of the Constitution; and that the act of the UPDF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restraining</w:t>
      </w:r>
      <w:proofErr w:type="gramEnd"/>
      <w:r>
        <w:rPr>
          <w:rFonts w:ascii="Times New Roman" w:hAnsi="Times New Roman" w:cs="Times New Roman"/>
          <w:color w:val="000000"/>
        </w:rPr>
        <w:t xml:space="preserve"> him from expressing political matters while allowing others to do so contravened Articles 20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29 of the Constitution. The petitioner also sought damages for violation of his rights and freedoms of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speech</w:t>
      </w:r>
      <w:proofErr w:type="gramEnd"/>
      <w:r>
        <w:rPr>
          <w:rFonts w:ascii="Times New Roman" w:hAnsi="Times New Roman" w:cs="Times New Roman"/>
          <w:color w:val="000000"/>
        </w:rPr>
        <w:t>, movement and assembly and an order prohibiting the Electoral Commission from declaring his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seat</w:t>
      </w:r>
      <w:proofErr w:type="gramEnd"/>
      <w:r>
        <w:rPr>
          <w:rFonts w:ascii="Times New Roman" w:hAnsi="Times New Roman" w:cs="Times New Roman"/>
          <w:color w:val="000000"/>
        </w:rPr>
        <w:t xml:space="preserve"> vacant or conducting elections to replace him.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President of Uganda, with the four attributes in Article 98(1) of the Constitution, is at all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times</w:t>
      </w:r>
      <w:proofErr w:type="gramEnd"/>
      <w:r>
        <w:rPr>
          <w:rFonts w:ascii="Times New Roman" w:hAnsi="Times New Roman" w:cs="Times New Roman"/>
          <w:color w:val="000000"/>
        </w:rPr>
        <w:t xml:space="preserve"> entrusted with the complete control of the affairs of state. He occupies a unique office with powers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responsibilities so vast and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292 of [2005] 2 EA 291 (CCU)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so</w:t>
      </w:r>
      <w:proofErr w:type="gramEnd"/>
      <w:r>
        <w:rPr>
          <w:rFonts w:ascii="Times New Roman" w:hAnsi="Times New Roman" w:cs="Times New Roman"/>
          <w:color w:val="000000"/>
        </w:rPr>
        <w:t xml:space="preserve"> important that public interest demands that he devotes his undivided time and attention to his public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duties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Unless the President is immune from the legal proceeding while holding office, there exists a threat of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judicial</w:t>
      </w:r>
      <w:proofErr w:type="gramEnd"/>
      <w:r>
        <w:rPr>
          <w:rFonts w:ascii="Times New Roman" w:hAnsi="Times New Roman" w:cs="Times New Roman"/>
          <w:color w:val="000000"/>
        </w:rPr>
        <w:t xml:space="preserve"> interference with the Executive branch through orders and other court decisions, which would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violate</w:t>
      </w:r>
      <w:proofErr w:type="gramEnd"/>
      <w:r>
        <w:rPr>
          <w:rFonts w:ascii="Times New Roman" w:hAnsi="Times New Roman" w:cs="Times New Roman"/>
          <w:color w:val="000000"/>
        </w:rPr>
        <w:t xml:space="preserve"> the separation of power principle. (</w:t>
      </w:r>
      <w:r>
        <w:rPr>
          <w:rFonts w:ascii="Times New Roman" w:hAnsi="Times New Roman" w:cs="Times New Roman"/>
          <w:i/>
          <w:iCs/>
          <w:color w:val="000000"/>
        </w:rPr>
        <w:t xml:space="preserve">Baker v Cart </w:t>
      </w:r>
      <w:r>
        <w:rPr>
          <w:rFonts w:ascii="Times New Roman" w:hAnsi="Times New Roman" w:cs="Times New Roman"/>
          <w:color w:val="000000"/>
        </w:rPr>
        <w:t>369 US 1962 applied).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the courts can review the Head of State powers if the President acts in bad faith or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misconstrued</w:t>
      </w:r>
      <w:proofErr w:type="gramEnd"/>
      <w:r>
        <w:rPr>
          <w:rFonts w:ascii="Times New Roman" w:hAnsi="Times New Roman" w:cs="Times New Roman"/>
          <w:color w:val="000000"/>
        </w:rPr>
        <w:t xml:space="preserve"> his powers. When exercising his duties, he must do so legally and constitutionally. He has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exercise his powers in a non-arbitrary manner. As long as the President acts in good faith and if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political</w:t>
      </w:r>
      <w:proofErr w:type="gramEnd"/>
      <w:r>
        <w:rPr>
          <w:rFonts w:ascii="Times New Roman" w:hAnsi="Times New Roman" w:cs="Times New Roman"/>
          <w:color w:val="000000"/>
        </w:rPr>
        <w:t xml:space="preserve"> decisions are objectively rational, the court will not interfere with the decision because it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disagrees</w:t>
      </w:r>
      <w:proofErr w:type="gramEnd"/>
      <w:r>
        <w:rPr>
          <w:rFonts w:ascii="Times New Roman" w:hAnsi="Times New Roman" w:cs="Times New Roman"/>
          <w:color w:val="000000"/>
        </w:rPr>
        <w:t xml:space="preserve"> with it.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 proper interpretation of the Constitution and other relevant laws, there is nothing to stop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court</w:t>
      </w:r>
      <w:proofErr w:type="gramEnd"/>
      <w:r>
        <w:rPr>
          <w:rFonts w:ascii="Times New Roman" w:hAnsi="Times New Roman" w:cs="Times New Roman"/>
          <w:color w:val="000000"/>
        </w:rPr>
        <w:t xml:space="preserve"> from entertaining a complaint challenging the President’s act or acts. (</w:t>
      </w:r>
      <w:r>
        <w:rPr>
          <w:rFonts w:ascii="Times New Roman" w:hAnsi="Times New Roman" w:cs="Times New Roman"/>
          <w:i/>
          <w:iCs/>
          <w:color w:val="000000"/>
        </w:rPr>
        <w:t>William Jefferson Clinton v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Paula Corbin Jones </w:t>
      </w:r>
      <w:r>
        <w:rPr>
          <w:rFonts w:ascii="Times New Roman" w:hAnsi="Times New Roman" w:cs="Times New Roman"/>
          <w:color w:val="000000"/>
        </w:rPr>
        <w:t>520 US [1997] considered).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challenging the act or acts of the President is one thing and prosecuting him and bringing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him</w:t>
      </w:r>
      <w:proofErr w:type="gramEnd"/>
      <w:r>
        <w:rPr>
          <w:rFonts w:ascii="Times New Roman" w:hAnsi="Times New Roman" w:cs="Times New Roman"/>
          <w:color w:val="000000"/>
        </w:rPr>
        <w:t xml:space="preserve"> before a court of law is another. Under Article 98(4) the President cannot be prosecuted for a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criminal</w:t>
      </w:r>
      <w:proofErr w:type="gramEnd"/>
      <w:r>
        <w:rPr>
          <w:rFonts w:ascii="Times New Roman" w:hAnsi="Times New Roman" w:cs="Times New Roman"/>
          <w:color w:val="000000"/>
        </w:rPr>
        <w:t xml:space="preserve"> offence or sued in a civil action in any court except in a Presidential Election Petition.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regard to the parties to the action for complaints against an act or acts of the President,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proper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 or person to sue is the Attorney-General.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 that the petitioner wrote the resignation letter on the directive of the Commander-in-Chief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did</w:t>
      </w:r>
      <w:proofErr w:type="gramEnd"/>
      <w:r>
        <w:rPr>
          <w:rFonts w:ascii="Times New Roman" w:hAnsi="Times New Roman" w:cs="Times New Roman"/>
          <w:color w:val="000000"/>
        </w:rPr>
        <w:t xml:space="preserve"> not affect the effectiveness of the letter to the Speaker. The directive did not contravene sections 80,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83 and 84 of the Constitution.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not a requirement for the Speaker to investigate the reasons for the resignation. All that was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required</w:t>
      </w:r>
      <w:proofErr w:type="gramEnd"/>
      <w:r>
        <w:rPr>
          <w:rFonts w:ascii="Times New Roman" w:hAnsi="Times New Roman" w:cs="Times New Roman"/>
          <w:color w:val="000000"/>
        </w:rPr>
        <w:t xml:space="preserve"> was fulfilled and hence the letter was an effective resignation.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Notification of the Electoral Commission, by the Speaker, that the petitioner’s seat had fallen vacant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did</w:t>
      </w:r>
      <w:proofErr w:type="gramEnd"/>
      <w:r>
        <w:rPr>
          <w:rFonts w:ascii="Times New Roman" w:hAnsi="Times New Roman" w:cs="Times New Roman"/>
          <w:color w:val="000000"/>
        </w:rPr>
        <w:t xml:space="preserve"> not contravene Articles 80, 83 and 84 of the Constitution.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section 10(4) of the UPDF Act (Chapter 307) the UPDF operates under the general direction of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President. The President, as Commander-in-Chief of the UPDF, has the authority to direct or guide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any</w:t>
      </w:r>
      <w:proofErr w:type="gramEnd"/>
      <w:r>
        <w:rPr>
          <w:rFonts w:ascii="Times New Roman" w:hAnsi="Times New Roman" w:cs="Times New Roman"/>
          <w:color w:val="000000"/>
        </w:rPr>
        <w:t xml:space="preserve"> soldier, including an army representative in Parliament on any military matter.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Soldier members of Parliament are full members of Parliament with equal rights and obligations as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civilian members of Parliament. They subscribe to an oath of office to defend, support and uphold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 at all times. However, the petitioner remained a soldier and had to obey the Army Code of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Conduct and observe the discipline. To defend the Constitution, the petitioner does not have to commit a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breach</w:t>
      </w:r>
      <w:proofErr w:type="gramEnd"/>
      <w:r>
        <w:rPr>
          <w:rFonts w:ascii="Times New Roman" w:hAnsi="Times New Roman" w:cs="Times New Roman"/>
          <w:color w:val="000000"/>
        </w:rPr>
        <w:t xml:space="preserve"> of the law. He is enjoined to employ lawful means to fulfil his obligations. The rights and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freedoms</w:t>
      </w:r>
      <w:proofErr w:type="gramEnd"/>
      <w:r>
        <w:rPr>
          <w:rFonts w:ascii="Times New Roman" w:hAnsi="Times New Roman" w:cs="Times New Roman"/>
          <w:color w:val="000000"/>
        </w:rPr>
        <w:t xml:space="preserve"> under Articles 20, 21 and 29 must be enjoyed within the confines of the law. Those rights are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absolute. They are important but are not </w:t>
      </w:r>
      <w:proofErr w:type="spellStart"/>
      <w:r>
        <w:rPr>
          <w:rFonts w:ascii="Times New Roman" w:hAnsi="Times New Roman" w:cs="Times New Roman"/>
          <w:color w:val="000000"/>
        </w:rPr>
        <w:t>derogable</w:t>
      </w:r>
      <w:proofErr w:type="spellEnd"/>
      <w:r>
        <w:rPr>
          <w:rFonts w:ascii="Times New Roman" w:hAnsi="Times New Roman" w:cs="Times New Roman"/>
          <w:color w:val="000000"/>
        </w:rPr>
        <w:t xml:space="preserve"> freedoms under Article 44 of the Constitution.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293 of [2005] 2 EA 291 (CCU)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participating in radio talk shows and making statements to outsiders without permission from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relevant</w:t>
      </w:r>
      <w:proofErr w:type="gramEnd"/>
      <w:r>
        <w:rPr>
          <w:rFonts w:ascii="Times New Roman" w:hAnsi="Times New Roman" w:cs="Times New Roman"/>
          <w:color w:val="000000"/>
        </w:rPr>
        <w:t xml:space="preserve"> authority was an offence under the UPDF Act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Military standing orders, army code of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conduct</w:t>
      </w:r>
      <w:proofErr w:type="gramEnd"/>
      <w:r>
        <w:rPr>
          <w:rFonts w:ascii="Times New Roman" w:hAnsi="Times New Roman" w:cs="Times New Roman"/>
          <w:color w:val="000000"/>
        </w:rPr>
        <w:t xml:space="preserve"> and other military law are enacted in accordance with the Constitution to </w:t>
      </w:r>
      <w:proofErr w:type="spellStart"/>
      <w:r>
        <w:rPr>
          <w:rFonts w:ascii="Times New Roman" w:hAnsi="Times New Roman" w:cs="Times New Roman"/>
          <w:color w:val="000000"/>
        </w:rPr>
        <w:t>operationalise</w:t>
      </w:r>
      <w:proofErr w:type="spellEnd"/>
      <w:r>
        <w:rPr>
          <w:rFonts w:ascii="Times New Roman" w:hAnsi="Times New Roman" w:cs="Times New Roman"/>
          <w:color w:val="000000"/>
        </w:rPr>
        <w:t xml:space="preserve"> it.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petitioner</w:t>
      </w:r>
      <w:proofErr w:type="gramEnd"/>
      <w:r>
        <w:rPr>
          <w:rFonts w:ascii="Times New Roman" w:hAnsi="Times New Roman" w:cs="Times New Roman"/>
          <w:color w:val="000000"/>
        </w:rPr>
        <w:t xml:space="preserve"> should, therefore, not have chosen those methods to defend the Constitution and fulfil his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obligations</w:t>
      </w:r>
      <w:proofErr w:type="gramEnd"/>
      <w:r>
        <w:rPr>
          <w:rFonts w:ascii="Times New Roman" w:hAnsi="Times New Roman" w:cs="Times New Roman"/>
          <w:color w:val="000000"/>
        </w:rPr>
        <w:t xml:space="preserve"> as a member of Parliament. He should have employed appropriate ones.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Preferring charges against the petitioner in the circumstances in which it was done was not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inconsistent</w:t>
      </w:r>
      <w:proofErr w:type="gramEnd"/>
      <w:r>
        <w:rPr>
          <w:rFonts w:ascii="Times New Roman" w:hAnsi="Times New Roman" w:cs="Times New Roman"/>
          <w:color w:val="000000"/>
        </w:rPr>
        <w:t xml:space="preserve"> with and did not contravene Articles 20, 21 and 29 of the Constitution.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Once an army representative is allowed to subscribe to an oath of </w:t>
      </w:r>
      <w:proofErr w:type="gramStart"/>
      <w:r>
        <w:rPr>
          <w:rFonts w:ascii="Times New Roman" w:hAnsi="Times New Roman" w:cs="Times New Roman"/>
          <w:color w:val="000000"/>
        </w:rPr>
        <w:t>member</w:t>
      </w:r>
      <w:proofErr w:type="gramEnd"/>
      <w:r>
        <w:rPr>
          <w:rFonts w:ascii="Times New Roman" w:hAnsi="Times New Roman" w:cs="Times New Roman"/>
          <w:color w:val="000000"/>
        </w:rPr>
        <w:t xml:space="preserve"> of Parliament, he or she is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faced</w:t>
      </w:r>
      <w:proofErr w:type="gramEnd"/>
      <w:r>
        <w:rPr>
          <w:rFonts w:ascii="Times New Roman" w:hAnsi="Times New Roman" w:cs="Times New Roman"/>
          <w:color w:val="000000"/>
        </w:rPr>
        <w:t xml:space="preserve"> with two masters to serve, the army code of conduct and the oath of member of Parliament. In this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case</w:t>
      </w:r>
      <w:proofErr w:type="gramEnd"/>
      <w:r>
        <w:rPr>
          <w:rFonts w:ascii="Times New Roman" w:hAnsi="Times New Roman" w:cs="Times New Roman"/>
          <w:color w:val="000000"/>
        </w:rPr>
        <w:t>, the oath of member of Parliament will always sway. 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Twinomujini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JJA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dissenting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Pressing charges against the petitioner would conflict with and violate Articles 20, 21 and 29 of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Constitution. 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Twinomujini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JJA </w:t>
      </w:r>
      <w:r>
        <w:rPr>
          <w:rFonts w:ascii="Times New Roman" w:hAnsi="Times New Roman" w:cs="Times New Roman"/>
          <w:color w:val="000000"/>
        </w:rPr>
        <w:t>dissenting)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President has total immunity against court proceedings both criminal and civil arising out of his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 xml:space="preserve"> her acts or omissions done or omitted to be done either before or during his or her term in office as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President. Any person wishing to challenge those acts or omissions of the President in court has to wait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until</w:t>
      </w:r>
      <w:proofErr w:type="gramEnd"/>
      <w:r>
        <w:rPr>
          <w:rFonts w:ascii="Times New Roman" w:hAnsi="Times New Roman" w:cs="Times New Roman"/>
          <w:color w:val="000000"/>
        </w:rPr>
        <w:t xml:space="preserve"> the President has ceased to be one. The only exception to this is for a challenge of the election of a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 of a person who happens to be the incumbent President at the time of the challenge. If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framers</w:t>
      </w:r>
      <w:proofErr w:type="gramEnd"/>
      <w:r>
        <w:rPr>
          <w:rFonts w:ascii="Times New Roman" w:hAnsi="Times New Roman" w:cs="Times New Roman"/>
          <w:color w:val="000000"/>
        </w:rPr>
        <w:t xml:space="preserve"> of the Constitution had intended the acts of an incumbent President should be challengeable in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court</w:t>
      </w:r>
      <w:proofErr w:type="gramEnd"/>
      <w:r>
        <w:rPr>
          <w:rFonts w:ascii="Times New Roman" w:hAnsi="Times New Roman" w:cs="Times New Roman"/>
          <w:color w:val="000000"/>
        </w:rPr>
        <w:t>, they would have clearly stated so, given the fairly detailed manner in which the Constitution deals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</w:t>
      </w:r>
      <w:proofErr w:type="gramEnd"/>
      <w:r>
        <w:rPr>
          <w:rFonts w:ascii="Times New Roman" w:hAnsi="Times New Roman" w:cs="Times New Roman"/>
          <w:color w:val="000000"/>
        </w:rPr>
        <w:t xml:space="preserve"> the question of Presidential immunity in Article 98. Where they wanted an exemption to this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immunity</w:t>
      </w:r>
      <w:proofErr w:type="gramEnd"/>
      <w:r>
        <w:rPr>
          <w:rFonts w:ascii="Times New Roman" w:hAnsi="Times New Roman" w:cs="Times New Roman"/>
          <w:color w:val="000000"/>
        </w:rPr>
        <w:t>, the framers of the Constitution said so in Article 109(8). (</w:t>
      </w:r>
      <w:r>
        <w:rPr>
          <w:rFonts w:ascii="Times New Roman" w:hAnsi="Times New Roman" w:cs="Times New Roman"/>
          <w:i/>
          <w:iCs/>
          <w:color w:val="000000"/>
        </w:rPr>
        <w:t>William Jefferson Clinton v Paula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Cobin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Jones </w:t>
      </w:r>
      <w:r>
        <w:rPr>
          <w:rFonts w:ascii="Times New Roman" w:hAnsi="Times New Roman" w:cs="Times New Roman"/>
          <w:color w:val="000000"/>
        </w:rPr>
        <w:t>520 US 681 distinguished)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</w:t>
      </w:r>
      <w:r>
        <w:rPr>
          <w:rFonts w:ascii="Times New Roman" w:hAnsi="Times New Roman" w:cs="Times New Roman"/>
          <w:color w:val="000000"/>
        </w:rPr>
        <w:t>dissenting).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duty of the court is to interpret, not to amend or re-write, the Constitution. Courts should resist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temptation to venture into unnecessary judicial interpretations of the Constitution contrary to its clear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provisions</w:t>
      </w:r>
      <w:proofErr w:type="gramEnd"/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</w:t>
      </w:r>
      <w:r>
        <w:rPr>
          <w:rFonts w:ascii="Times New Roman" w:hAnsi="Times New Roman" w:cs="Times New Roman"/>
          <w:color w:val="000000"/>
        </w:rPr>
        <w:t>dissenting).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strike a difference between challenging the acts of the President in a court of law and making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 a party to court proceedings or arguing that where a party seeks to challenge the acts of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 in court such a party sues the Attorney-General is academic. The effect of either is to erode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Presidential immunity embodied in Article 98 doing so would greatly undermine the rationale behind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Article, which is to cater for the people’s aspirations about the person and office of the President. This is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preservation of the dignity of both the person and the office of the President. 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dissenting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Constitution puts the question of how to promptly handle the liability of court proceedings by an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incumbent</w:t>
      </w:r>
      <w:proofErr w:type="gramEnd"/>
      <w:r>
        <w:rPr>
          <w:rFonts w:ascii="Times New Roman" w:hAnsi="Times New Roman" w:cs="Times New Roman"/>
          <w:color w:val="000000"/>
        </w:rPr>
        <w:t xml:space="preserve"> President or immediately subjecting his or her acts or omissions to judicial review, beyond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court’s</w:t>
      </w:r>
      <w:proofErr w:type="gramEnd"/>
      <w:r>
        <w:rPr>
          <w:rFonts w:ascii="Times New Roman" w:hAnsi="Times New Roman" w:cs="Times New Roman"/>
          <w:color w:val="000000"/>
        </w:rPr>
        <w:t xml:space="preserve"> competence. It leaves it to the people, who through the exercise of their sovereignty, either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directly</w:t>
      </w:r>
      <w:proofErr w:type="gramEnd"/>
      <w:r>
        <w:rPr>
          <w:rFonts w:ascii="Times New Roman" w:hAnsi="Times New Roman" w:cs="Times New Roman"/>
          <w:color w:val="000000"/>
        </w:rPr>
        <w:t xml:space="preserve"> or through their representatives in Parliament, may bring an end to the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294 of [2005] 2 EA 291 (CCU)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incumbent’s</w:t>
      </w:r>
      <w:proofErr w:type="gramEnd"/>
      <w:r>
        <w:rPr>
          <w:rFonts w:ascii="Times New Roman" w:hAnsi="Times New Roman" w:cs="Times New Roman"/>
          <w:color w:val="000000"/>
        </w:rPr>
        <w:t xml:space="preserve"> presidency thereby opening the door for legal action to be taken against him or her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appeal number 1 of 1997 applied) 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Kavuma</w:t>
      </w:r>
      <w:proofErr w:type="spellEnd"/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dissenting</w:t>
      </w:r>
      <w:proofErr w:type="gramEnd"/>
      <w:r>
        <w:rPr>
          <w:rFonts w:ascii="Times New Roman" w:hAnsi="Times New Roman" w:cs="Times New Roman"/>
          <w:color w:val="000000"/>
        </w:rPr>
        <w:t>).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the President assigns any of his executive powers to ministers or other officers under Articles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99(4) and 113(3) of the Constitution, immunity does not extend to such other ministers or officers.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such ministers or officers act or omit to act in such a manner as to attract legal challenge or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liability</w:t>
      </w:r>
      <w:proofErr w:type="gramEnd"/>
      <w:r>
        <w:rPr>
          <w:rFonts w:ascii="Times New Roman" w:hAnsi="Times New Roman" w:cs="Times New Roman"/>
          <w:color w:val="000000"/>
        </w:rPr>
        <w:t xml:space="preserve"> to government, the Attorney-General is sued in his representative capacity under Article 119(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Constitution.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dissenting).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dismissed.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appeal number 1 of 1997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Law Society and another v Attorney-General </w:t>
      </w:r>
      <w:r>
        <w:rPr>
          <w:rFonts w:ascii="Times New Roman" w:hAnsi="Times New Roman" w:cs="Times New Roman"/>
          <w:color w:val="000000"/>
        </w:rPr>
        <w:t>[2003] 2 EA 694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Gopal v State of Madras </w:t>
      </w:r>
      <w:r>
        <w:rPr>
          <w:rFonts w:ascii="Times New Roman" w:hAnsi="Times New Roman" w:cs="Times New Roman"/>
          <w:color w:val="000000"/>
        </w:rPr>
        <w:t>[1950] 5 CR 88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Nighell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Sultan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Jahore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[1894] QB 149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William Jefferson Clinton v Paula Corbin Jones </w:t>
      </w:r>
      <w:r>
        <w:rPr>
          <w:rFonts w:ascii="Times New Roman" w:hAnsi="Times New Roman" w:cs="Times New Roman"/>
          <w:color w:val="000000"/>
        </w:rPr>
        <w:t xml:space="preserve">520 US 681 (1997) – </w:t>
      </w:r>
      <w:r>
        <w:rPr>
          <w:rFonts w:ascii="Times New Roman" w:hAnsi="Times New Roman" w:cs="Times New Roman"/>
          <w:b/>
          <w:bCs/>
          <w:color w:val="000000"/>
        </w:rPr>
        <w:t xml:space="preserve">C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States of America</w:t>
      </w:r>
    </w:p>
    <w:p w:rsidR="00A317E2" w:rsidRDefault="00A317E2" w:rsidP="00A3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Baker v Cart </w:t>
      </w:r>
      <w:r>
        <w:rPr>
          <w:rFonts w:ascii="Times New Roman" w:hAnsi="Times New Roman" w:cs="Times New Roman"/>
          <w:color w:val="000000"/>
        </w:rPr>
        <w:t xml:space="preserve">369 US 1962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366D10" w:rsidRDefault="00A317E2" w:rsidP="00A317E2">
      <w:r>
        <w:rPr>
          <w:rFonts w:ascii="Times New Roman" w:hAnsi="Times New Roman" w:cs="Times New Roman"/>
          <w:i/>
          <w:iCs/>
          <w:color w:val="000000"/>
        </w:rPr>
        <w:t>South Dakota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E2"/>
    <w:rsid w:val="00366D10"/>
    <w:rsid w:val="00A317E2"/>
    <w:rsid w:val="00A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242FA-5C65-4F27-AEF7-7CCE2F80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2018-07-04T20:17:00Z</dcterms:created>
  <dcterms:modified xsi:type="dcterms:W3CDTF">2018-07-11T11:14:00Z</dcterms:modified>
</cp:coreProperties>
</file>