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Tumukunde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 and another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Constitutional Court of Uganda at Kampala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2005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6/05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DCJ,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Constitutional law – Parliament – Duties of a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member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Parliament representing the UPDF –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Conflict between duties and oath to Parliament – Freedom to.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Constitutional law – Parliament – Resignation letter of a Member of Parliament – Duty to inquire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reasons for writing the resignation letter – Duty of the Speaker on receiving the resignation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letter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Duty to inform the Electoral Commission.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Constitutional law – Presidency – Whether President can be subjected to court proceedings while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holding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office.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petitioner was a member of the Uganda People’s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Forces (UPDF) and a member of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Parliament, representing the UPDF. As a result of his comments, the petitioner was directed by the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President, as Commander-in-Chief of UPDF, to write to the Speaker tendering his resignation. He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wrote the resignation letter and was arrested thereafter and charged in a court martial.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Subsequently, the petitioner filed this petition seeking,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alia, </w:t>
      </w:r>
      <w:r>
        <w:rPr>
          <w:rFonts w:ascii="Times New Roman" w:hAnsi="Times New Roman" w:cs="Times New Roman"/>
          <w:color w:val="000000"/>
        </w:rPr>
        <w:t>declarations that the actions of the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Commander-in Chief and the army commander directing him to resign contravened Articles 80, 83 and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84 of the Constitution; that the Speaker’s action in accepting and declaring his seat vacant, on the basis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his letter, contravenes section 83(1), 80 and 84 of the Constitution; and that the act of the UPDF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restraining him from expressing political matters while allowing others to do so contravened Articles 20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29 of the Constitution. The petitioner also sought damages for violation of his rights and freedoms of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speech, movement and assembly and an order prohibiting the Electoral Commission from declaring his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seat vacant or conducting elections to replace him.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President of Uganda, with the four attributes in Article 98(1) of the Constitution, is at all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times entrusted with the complete control of the affairs of state. He occupies a unique office with powers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responsibilities so vast and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important that public interest demands that he devotes his undivided time and attention to his public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duties.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Unless the President is immune from the legal proceeding while holding office, there exists a threat of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interference with the Executive branch through orders and other court decisions, which would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violate the separation of power principle. (</w:t>
      </w:r>
      <w:r>
        <w:rPr>
          <w:rFonts w:ascii="Times New Roman" w:hAnsi="Times New Roman" w:cs="Times New Roman"/>
          <w:i/>
          <w:iCs/>
          <w:color w:val="000000"/>
        </w:rPr>
        <w:t xml:space="preserve">Baker v Cart </w:t>
      </w:r>
      <w:r>
        <w:rPr>
          <w:rFonts w:ascii="Times New Roman" w:hAnsi="Times New Roman" w:cs="Times New Roman"/>
          <w:color w:val="000000"/>
        </w:rPr>
        <w:t>369 US 1962 applied).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the courts can review the Head of State powers if the President acts in bad faith or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misconstrued his powers. When exercising his duties, he must do so legally and constitutionally. He has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exercise his powers in a non-arbitrary manner. As long as the President acts in good faith and if the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decisions are objectively rational, the court will not interfere with the decision because it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disagrees with it.</w:t>
      </w:r>
    </w:p>
    <w:p w:rsidR="002632A2" w:rsidRPr="00F63B70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 proper interpretation of the Constitution and other relevant laws, there is nothing to stop the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from entertaining a complaint challenging the President’s act or acts. (</w:t>
      </w:r>
      <w:r>
        <w:rPr>
          <w:rFonts w:ascii="Times New Roman" w:hAnsi="Times New Roman" w:cs="Times New Roman"/>
          <w:i/>
          <w:iCs/>
          <w:color w:val="000000"/>
        </w:rPr>
        <w:t>William Jefferson Clinton v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Paula Corbin Jones </w:t>
      </w:r>
      <w:r>
        <w:rPr>
          <w:rFonts w:ascii="Times New Roman" w:hAnsi="Times New Roman" w:cs="Times New Roman"/>
          <w:color w:val="000000"/>
        </w:rPr>
        <w:t>520 US [1997] considered).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challenging the act or acts of the President is one thing and prosecuting him and bringing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before a court of law is another. Under Article 98(4) the President cannot be prosecuted for a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offence or sued in a civil action in any court except in a Presidential Election Petition.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regard to the parties to the action for complaints against an act or acts of the President, the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 respondent or person to sue is the Attorney-General.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 that the petitioner wrote the resignation letter on the directive of the Commander-in-Chief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affect the effectiveness of the letter to the Speaker. The directive did not contravene sections 80,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83 and 84 of the Constitution.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It is not a requirement for the Speaker to investigate the reasons for the resignation. All that was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was fulfilled and hence the letter was an effective resignation.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Notification of the Electoral Commission, by the Speaker, that the petitioner’s seat had fallen vacant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contravene Articles 80, 83 and 84 of the Constitution.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section 10(4) of the UPDF Act (Chapter 307) the UPDF operates under the general direction of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President. The President, as Commander-in-Chief of the UPDF, has the authority to direct or guide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soldier, including an army representative in Parliament on any military matter.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Soldier members of Parliament are full members of Parliament with equal rights and obligations as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civilian members of Parliament. They subscribe to an oath of office to defend, support and uphold the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 at all times. However, the petitioner remained a soldier and had to obey the Army Code of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Conduct and observe the discipline. To defend the Constitution, the peti</w:t>
      </w:r>
      <w:r w:rsidR="00F63B70">
        <w:rPr>
          <w:rFonts w:ascii="Times New Roman" w:hAnsi="Times New Roman" w:cs="Times New Roman"/>
          <w:color w:val="000000"/>
        </w:rPr>
        <w:t xml:space="preserve">tioner does not have to commit </w:t>
      </w:r>
      <w:r>
        <w:rPr>
          <w:rFonts w:ascii="Times New Roman" w:hAnsi="Times New Roman" w:cs="Times New Roman"/>
          <w:color w:val="000000"/>
        </w:rPr>
        <w:t>breach of the law. He is enjoined to employ lawful means to fulfil his obligations. The rights and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 under Articles 20, 21 and 29 must be enjoyed within the confines of the law. Those rights are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absolute. They are important but are not </w:t>
      </w:r>
      <w:proofErr w:type="spellStart"/>
      <w:r>
        <w:rPr>
          <w:rFonts w:ascii="Times New Roman" w:hAnsi="Times New Roman" w:cs="Times New Roman"/>
          <w:color w:val="000000"/>
        </w:rPr>
        <w:t>derogable</w:t>
      </w:r>
      <w:proofErr w:type="spellEnd"/>
      <w:r>
        <w:rPr>
          <w:rFonts w:ascii="Times New Roman" w:hAnsi="Times New Roman" w:cs="Times New Roman"/>
          <w:color w:val="000000"/>
        </w:rPr>
        <w:t xml:space="preserve"> freedoms under Article 44 of the Constitution.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participating in radio talk shows and making statements to outsiders without permission from the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authority was an offence under the UPDF Act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Military standing orders, army code of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conduct and other military law are enacted in accordance with the Constitution to </w:t>
      </w:r>
      <w:proofErr w:type="spellStart"/>
      <w:r>
        <w:rPr>
          <w:rFonts w:ascii="Times New Roman" w:hAnsi="Times New Roman" w:cs="Times New Roman"/>
          <w:color w:val="000000"/>
        </w:rPr>
        <w:t>operationalise</w:t>
      </w:r>
      <w:proofErr w:type="spellEnd"/>
      <w:r>
        <w:rPr>
          <w:rFonts w:ascii="Times New Roman" w:hAnsi="Times New Roman" w:cs="Times New Roman"/>
          <w:color w:val="000000"/>
        </w:rPr>
        <w:t xml:space="preserve"> it. The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 should, therefore, not have chosen those methods to defend the Constitution and fulfil his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obligations as a </w:t>
      </w:r>
      <w:proofErr w:type="gramStart"/>
      <w:r>
        <w:rPr>
          <w:rFonts w:ascii="Times New Roman" w:hAnsi="Times New Roman" w:cs="Times New Roman"/>
          <w:color w:val="000000"/>
        </w:rPr>
        <w:t>member</w:t>
      </w:r>
      <w:proofErr w:type="gramEnd"/>
      <w:r>
        <w:rPr>
          <w:rFonts w:ascii="Times New Roman" w:hAnsi="Times New Roman" w:cs="Times New Roman"/>
          <w:color w:val="000000"/>
        </w:rPr>
        <w:t xml:space="preserve"> of Parliament. He should have employed appropriate ones.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Preferring charges against the petitioner in the circumstances in which it was done was not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inconsistent with and did not contravene Articles 20, 21 and 29 of the Constitution.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Once an army representative is allowed to subscribe to an oath of </w:t>
      </w:r>
      <w:proofErr w:type="gramStart"/>
      <w:r>
        <w:rPr>
          <w:rFonts w:ascii="Times New Roman" w:hAnsi="Times New Roman" w:cs="Times New Roman"/>
          <w:color w:val="000000"/>
        </w:rPr>
        <w:t>member</w:t>
      </w:r>
      <w:proofErr w:type="gramEnd"/>
      <w:r>
        <w:rPr>
          <w:rFonts w:ascii="Times New Roman" w:hAnsi="Times New Roman" w:cs="Times New Roman"/>
          <w:color w:val="000000"/>
        </w:rPr>
        <w:t xml:space="preserve"> of Parliament, he or she is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faced with two masters to serve, the army code of conduct and the oath of member of Parliament. In this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the oath of </w:t>
      </w:r>
      <w:proofErr w:type="gramStart"/>
      <w:r>
        <w:rPr>
          <w:rFonts w:ascii="Times New Roman" w:hAnsi="Times New Roman" w:cs="Times New Roman"/>
          <w:color w:val="000000"/>
        </w:rPr>
        <w:t>member</w:t>
      </w:r>
      <w:proofErr w:type="gramEnd"/>
      <w:r>
        <w:rPr>
          <w:rFonts w:ascii="Times New Roman" w:hAnsi="Times New Roman" w:cs="Times New Roman"/>
          <w:color w:val="000000"/>
        </w:rPr>
        <w:t xml:space="preserve"> of Parliament will always sway. 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Twinomujini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JJA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dissenting)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Pressing charges against the petitioner would conflict with and violate Articles 20, 21 and 29 of the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Constitution. 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Twinomujini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JJA </w:t>
      </w:r>
      <w:r>
        <w:rPr>
          <w:rFonts w:ascii="Times New Roman" w:hAnsi="Times New Roman" w:cs="Times New Roman"/>
          <w:color w:val="000000"/>
        </w:rPr>
        <w:t>dissenting)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President has total immunity against court proceedings both criminal and civil arising out of his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her acts or omissions done or omitted to be done either before or during his or her term in office as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President. Any person wishing to challenge those acts or omissions of the President in court has to wait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until the President has ceased to be one. The only exception to this is for a challenge of the election of a</w:t>
      </w:r>
    </w:p>
    <w:p w:rsidR="002632A2" w:rsidRPr="00F63B70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 of a person who happens to be the incumbent President at the time of the challenge. If the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framers of the Constitution had intended the acts of an incumbent President should be challengeable in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they would have clearly stated so, given the fairly detailed manner in which the Constitution deals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question of Presidential immunity in Article 98. Where they wanted an exemption to this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immunity, the framers of the Constitution said so in Article 109(8). (</w:t>
      </w:r>
      <w:r>
        <w:rPr>
          <w:rFonts w:ascii="Times New Roman" w:hAnsi="Times New Roman" w:cs="Times New Roman"/>
          <w:i/>
          <w:iCs/>
          <w:color w:val="000000"/>
        </w:rPr>
        <w:t>William Jefferson Clinton v Paula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Cobin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Jones </w:t>
      </w:r>
      <w:r>
        <w:rPr>
          <w:rFonts w:ascii="Times New Roman" w:hAnsi="Times New Roman" w:cs="Times New Roman"/>
          <w:color w:val="000000"/>
        </w:rPr>
        <w:t>520 US 681 distinguished)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dissenting).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duty of the court is to interpret, not to amend or re-write, the Constitution. Courts should resist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temptation to venture into unnecessary judicial interpretations of the Constitution contrary to its clear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dissenting).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strike a difference between challenging the acts of the President in a court of law and making the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 a party to court proceedings or arguing that where a party seeks to challenge the acts of the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 in court such a party sues the Attorney-General is academic. The effect of either is to erode the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Presidential immunity embodied in Article 98 doing so would greatly undermine the rationale behind the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Article, which is to cater for the people’s aspirations about the person and office of the President. This is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preservation of the dignity of both the person and the office of the President. 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dissenting)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Constitution puts the question of how to promptly handle the liability of court proceedings by an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incumbent President or immediately subjecting his or her acts or omissions to judicial review, beyond the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court’s competence. It leaves it to the people, who through the exercise of their sovereignty, either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directly or through their representatives in Parliament, may bring an end to the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incumbent’s presidency thereby opening the door for legal action to be taken against him or her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appeal number 1 of 1997 applied)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  <w:r w:rsidR="00F63B7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dissenting).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the President assigns any of his executive powers to ministers or other officers under Articles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99(4) and 113(3) of the Constitution, immunity does not extend to such other ministers or officers.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such ministers or officers act or omit to act in such a manner as to attract legal challenge or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to government, the Attorney-General is sued in his representative capacity under Article 119(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</w:t>
      </w:r>
      <w:r w:rsidR="00F63B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Constitution. 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Kavuma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dissenting).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Petition dismissed.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appeal number 1 of 1997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Law Society and another v Attorney-General </w:t>
      </w:r>
      <w:r>
        <w:rPr>
          <w:rFonts w:ascii="Times New Roman" w:hAnsi="Times New Roman" w:cs="Times New Roman"/>
          <w:color w:val="000000"/>
        </w:rPr>
        <w:t>[2003] 2 EA 694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Gopal v State of Madras </w:t>
      </w:r>
      <w:r>
        <w:rPr>
          <w:rFonts w:ascii="Times New Roman" w:hAnsi="Times New Roman" w:cs="Times New Roman"/>
          <w:color w:val="000000"/>
        </w:rPr>
        <w:t>[1950] 5 CR 88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Nighell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Sultan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Jahore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[1894] QB 149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William Jefferson Clinton v Paula Corbin Jones </w:t>
      </w:r>
      <w:r>
        <w:rPr>
          <w:rFonts w:ascii="Times New Roman" w:hAnsi="Times New Roman" w:cs="Times New Roman"/>
          <w:color w:val="000000"/>
        </w:rPr>
        <w:t xml:space="preserve">520 US 681 (1997) – </w:t>
      </w:r>
      <w:r>
        <w:rPr>
          <w:rFonts w:ascii="Times New Roman" w:hAnsi="Times New Roman" w:cs="Times New Roman"/>
          <w:b/>
          <w:bCs/>
          <w:color w:val="000000"/>
        </w:rPr>
        <w:t xml:space="preserve">C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States of America</w:t>
      </w:r>
    </w:p>
    <w:p w:rsidR="002632A2" w:rsidRDefault="002632A2" w:rsidP="0026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Baker v Cart </w:t>
      </w:r>
      <w:r>
        <w:rPr>
          <w:rFonts w:ascii="Times New Roman" w:hAnsi="Times New Roman" w:cs="Times New Roman"/>
          <w:color w:val="000000"/>
        </w:rPr>
        <w:t xml:space="preserve">369 US 1962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366D10" w:rsidRDefault="002632A2" w:rsidP="002632A2"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South Dakota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A2"/>
    <w:rsid w:val="002632A2"/>
    <w:rsid w:val="00366D10"/>
    <w:rsid w:val="00F6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60137-CCD6-49E9-86B4-BC000D32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2018-07-04T20:23:00Z</dcterms:created>
  <dcterms:modified xsi:type="dcterms:W3CDTF">2018-07-11T11:13:00Z</dcterms:modified>
</cp:coreProperties>
</file>