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Twiga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Chemical Industries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Bamusedde</w:t>
      </w:r>
      <w:proofErr w:type="spellEnd"/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June 2005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16/04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of evidence on record –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appellate court had adequately re-evaluated the evidence.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Civil procedure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judgment – Application to set aside – Principles to be applied in</w:t>
      </w:r>
      <w:r w:rsidR="00793A2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determining application – applicant to give good or substantial reasons – Whether there were good</w:t>
      </w:r>
      <w:r w:rsidR="00793A2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reasons for the setting aside of the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judgment.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sued the respondent in the High Court seeking to recover a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15.420 million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respondent, being the balance owed to it on account of various chemicals sold to the latter. On 3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November 2000, the respondent filed a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denying any indebtedness to the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appellant. She also counterclaimed sums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4.8 million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2.967 million from the appellant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distribution services and debt collection expenses respectively undertaken for the appellant. The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did not file any reply or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averments and counterclaim. However, when the parties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appeared in court on 8 December 2000, the appellant was given leave by the court to file a reply to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counterclaim. The appellant failed to do so. The case was fixed for mention on 12 March 2001 but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date turned out to be an unscheduled public holiday. When the suit next came up before the court for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on 12 June 2001, the respondent’s counsel was present but neither the appellant nor its counsel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present. Upon the respondent’s application, the appellant’s suit was dismissed and judgment on the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counterclaim was entered in favour of the respondent 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4.8 million with interest. Costs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suit and the counterclaim were also awarded to the respondent.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13 November 2001, the appellant filed a motion seeking to set aside the court’s dismissal of its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as well as the decree entered in favour of the respondent on the counterclaim. The grounds for its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were that it had not been served with any hearing notice and was, thus, unaware of the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date. The application was dismissed as was an appeal therefrom to the Court of Appeal.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now appealed to the Supreme Court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Court of Appeal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erred in finding that the appellant was aware of the 28 June hearing </w:t>
      </w:r>
      <w:proofErr w:type="gramStart"/>
      <w:r>
        <w:rPr>
          <w:rFonts w:ascii="Times New Roman" w:hAnsi="Times New Roman" w:cs="Times New Roman"/>
          <w:color w:val="000000"/>
        </w:rPr>
        <w:t>date, that</w:t>
      </w:r>
      <w:proofErr w:type="gramEnd"/>
      <w:r>
        <w:rPr>
          <w:rFonts w:ascii="Times New Roman" w:hAnsi="Times New Roman" w:cs="Times New Roman"/>
          <w:color w:val="000000"/>
        </w:rPr>
        <w:t xml:space="preserve"> it erred in declining to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interfere with the trial judge’s exercise of discretion and in holding that the respondent’s claim was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pecuniary and liquidated in nature.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support of the appeal, counsel for the appellant argued,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justices of appeal had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re-appraise and re-evaluate the evidence as a whole and that if they had done so, they would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satisfied that the trial judge had erred in failing to appreciate that no hearing notice existed and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could not have been served. In reply, counsel for the respondent asserted that the Court of Appeal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diligently performed its duty in accordance with the law and that its reasons for confirming the trial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judge’s decision could not be faulted.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was clear that when the trial judge dismissed the appellant’s claim, he was satisfied that the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failed to prosecute the claim or defend the counterclaim and in acting as he did, the judge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acted correctly and in accordance with the law.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 application to set aside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could not succeed if no good or substantial reasons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given to justify setting it aside; </w:t>
      </w:r>
      <w:r>
        <w:rPr>
          <w:rFonts w:ascii="Times New Roman" w:hAnsi="Times New Roman" w:cs="Times New Roman"/>
          <w:i/>
          <w:iCs/>
          <w:color w:val="000000"/>
        </w:rPr>
        <w:t xml:space="preserve">Departed Asians Property Custodian 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Issa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Bukenya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supra)</w:t>
      </w:r>
      <w:r w:rsidR="00793A2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applied. In this instance, the trial judge was correct in dismissing the application as no reasonable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justification was advanced on behalf of the appellant for its absence and that of its counsel. Moreover,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appellant’s participation in the taxation proceedings in the High Court implied knowledge</w:t>
      </w:r>
      <w:r w:rsidR="00793A2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what had occurred before.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no merit in the appeal against the counterclaim. Both the trial judge and the Court of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Appeal only awarded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4.8 million and disallowed respondent’s prayers for general</w:t>
      </w:r>
      <w:r w:rsidR="00793A2E">
        <w:rPr>
          <w:rFonts w:ascii="Times New Roman" w:hAnsi="Times New Roman" w:cs="Times New Roman"/>
          <w:color w:val="000000"/>
        </w:rPr>
        <w:t xml:space="preserve"> d</w:t>
      </w:r>
      <w:r>
        <w:rPr>
          <w:rFonts w:ascii="Times New Roman" w:hAnsi="Times New Roman" w:cs="Times New Roman"/>
          <w:color w:val="000000"/>
        </w:rPr>
        <w:t>amages and other sums of money and in so doing acted correctly.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 with costs to the respondent.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15A16" w:rsidRDefault="00815A16" w:rsidP="00815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Bank of Uganda </w:t>
      </w:r>
      <w:r>
        <w:rPr>
          <w:rFonts w:ascii="Times New Roman" w:hAnsi="Times New Roman" w:cs="Times New Roman"/>
          <w:color w:val="000000"/>
        </w:rPr>
        <w:t>[1999] 2 EA</w:t>
      </w:r>
    </w:p>
    <w:p w:rsidR="0079295A" w:rsidRDefault="00815A16" w:rsidP="00815A16"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Departed Asians Property Custodian 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Issa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Bukenya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18 [1991]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79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16"/>
    <w:rsid w:val="0079295A"/>
    <w:rsid w:val="00793A2E"/>
    <w:rsid w:val="0081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31208-1D55-4800-AB7E-C0D5E6AA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2018-07-05T05:30:00Z</dcterms:created>
  <dcterms:modified xsi:type="dcterms:W3CDTF">2018-07-11T11:09:00Z</dcterms:modified>
</cp:coreProperties>
</file>