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Twiga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Chemical Industries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Bamusedde</w:t>
      </w:r>
      <w:proofErr w:type="spellEnd"/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27 June 2005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16/04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of evidence on record –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appellate court had adequately re-evaluated the evidence.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 – Application to set aside – Principles to be applied in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determining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application – applicant to give good or substantial reasons – Whether there were good</w:t>
      </w:r>
      <w:r w:rsidR="00E31E0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reasons for the setting aside of the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judgment.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This is a second appeal from the Court of Appeal which dismissed the appellant’s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appeal. The facts of the case may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11 May 2000, the appellant filed a suit, under the provisions of Order 33 of the Civil Procedure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Rules, against the defendant for the recovery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15.420 million and costs of the suit. Apparently,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claim was founded on some contractual arrangements under which the appellant had sold to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respondent, various chemicals for which the respondent made part payment leaving a balance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15.420 million </w:t>
      </w:r>
      <w:proofErr w:type="gramStart"/>
      <w:r>
        <w:rPr>
          <w:rFonts w:ascii="Times New Roman" w:hAnsi="Times New Roman" w:cs="Times New Roman"/>
          <w:color w:val="000000"/>
        </w:rPr>
        <w:t>unpaid</w:t>
      </w:r>
      <w:proofErr w:type="gramEnd"/>
      <w:r>
        <w:rPr>
          <w:rFonts w:ascii="Times New Roman" w:hAnsi="Times New Roman" w:cs="Times New Roman"/>
          <w:color w:val="000000"/>
        </w:rPr>
        <w:t>. The appellant claims that the balance was subsequently acknowledged by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as owed, in two letters dated 18 March and 19 June 1999 which letters were attached to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in the High Court as annexures.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3 November 2000, the respondent filed a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she denied any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indebtedness to the appellant in the sum claimed or any other. However, she herself counterclaimed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4.8 million for distribution services she had rendered to the appellant. She further claimed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expenses incurred for collecting debts for the appellant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2.967 million.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did not file any reply to the averments contained in the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counterclaim. The parties first appeared in court on 8 December 2000. On that day, court gave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leave to file a reply to the counterclaim out of time and the case was fixed for mention on 12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March 2001, that date turned out to be an unscheduled public holiday, in that it was the date on which</w:t>
      </w:r>
    </w:p>
    <w:p w:rsidR="003673B5" w:rsidRDefault="003673B5" w:rsidP="00E31E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Presidential elections were held in Uganda. In the meantime, the appellant did not file any reply to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counterclaim. When the matter came before court again on 12 June 2001, the respondent’s counsel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attended but the appellant did not appear by counsel or other representatives. On submissions by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counsel, the appellant’s suit was dismissed. Judgment on the counterclaim was entered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appellant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4.8 million as a liquidated sum with interest at the rate of 20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percent from July 1996 till payment in full. The respondent was awarded the costs of both the suit and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counterclaim.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13 November 2001, the appellant filed an application, by way of notice of motion, seeking to set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 the court’s order dismissing the suit, stay of execution and setting aside the decree that had been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entered in favour of the respondent on the counterclaim. The main ground advanced in support of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was that the appellant was not aware of the hearing date because it had not been served with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hearing notice. The application was dismissed and the appellant appealed to the Court of Appeal,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dismissed it with costs to the respondent. Hence this appeal.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memorandum of appeal to this Court contains nine grounds framed as follows: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to largely base their decisions on a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different ground from that relied on by the trial judge.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to find and hold that the appellant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aware of the hearing date of 28 June 2001.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B y holding that the learned trial Judge exercised his discretion judiciously and thus declined to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interfere with the same, the learned Justices of the Court of Appeal erred in law and fact.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4.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by holding that the respondent’s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counterclaim was both a pecuniary and a liquidated one.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to hold that the learned trial Judge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acted within the law to enter judgment on the counterclaim.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when they failed to decide if the court can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move itself to enter summary judgment on a counterclaim.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to hold that a telephone call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constitutes service in law.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8.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to find and hold that the appellant’s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lawyer participated in the taxation.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the Court of Appeal erred in law and fact to hold that a defendant has no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burden to prove that a plaintiff who is absent when the suit is called for hearing was served with a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hearing notice.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argued all the grounds in the memorandum of appeal together. He contended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learned Justices of Appeal failed in their duty to re-hear the case, as is expected of them under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12(1) of the Judicature Act and rule 29(1) of the rules of the Court of Appeal. He further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in failing to re-appraise the facts and re-evaluate the evidence as a whole, the learned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Justices of Appeal’s decisions were erroneous in both law and fact and constitute a miscarriage of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Mutaawe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further, that had the learned Justices of Appeal re-evaluated the evidence,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would have been satisfied that the learned trial Judge had erred in failing to appreciate that no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notice existed and, therefore, could not be served and was not served on the appellant by the time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case came to be heard by the trial judge. Counsel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for basing its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mainly on the delays and lack of diligence attributed to the appellant or her counsel. 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in civil trials there are well known and established rules of procedure which must be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adhered to and followed and service by telephone is not one of them. He contended that, therefore,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could not appear since he was not served at all.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appellant contended further that both the trial court and the Court of Appeal ignored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binding authorities of the Supreme Court decision and in so doing, they erred both in law and fact.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counsel contended that the fact that counsel for the appellant may have attended the meeting for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taxation of costs would not, in any way, validate the errors committed during the trial proceedings.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cited: the Evidence Act (Chapter 6), </w:t>
      </w: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Bank of Uganda </w:t>
      </w:r>
      <w:r>
        <w:rPr>
          <w:rFonts w:ascii="Times New Roman" w:hAnsi="Times New Roman" w:cs="Times New Roman"/>
          <w:color w:val="000000"/>
        </w:rPr>
        <w:t>[1999] 2 EA and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Orders 9, rule 45 of the Civil Procedure Rules; in support of his submissions.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opposed the appeal and also argued the grounds together. In his view,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correctly and independently re-evaluated the evidence and re-heard the case afresh.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contended that it was clear that the learned Justices of Appeal rightly and diligently performed their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properly land in accordance with the provisions of the Judicature Act and the rules of court. Counsel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respondent submitted further that the reasons given by the Court of Appeal, when confirming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and the decisions of the trial judge, cannot be faulted because they are sound in both law and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Submitting on the counterclaim,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in law, it is not necessary to fix a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date for hearing a counterclaim which is heard at the same time as the plaintiff’s plaint which is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always the main cause for fixing a hearing date in the first instance. He contended further that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purpose of serving a hearing notice is solely to inform parties of the fact that their case will be heard on a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named date and such knowledge can equally be transmitted through a telephone conversation. 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attendance of the taxation of costs meeting by the respondent’s counsel is proof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enough of the fact that they were aware that the case had been heard and </w:t>
      </w:r>
      <w:proofErr w:type="spellStart"/>
      <w:r>
        <w:rPr>
          <w:rFonts w:ascii="Times New Roman" w:hAnsi="Times New Roman" w:cs="Times New Roman"/>
          <w:color w:val="000000"/>
        </w:rPr>
        <w:t>finalised</w:t>
      </w:r>
      <w:proofErr w:type="spellEnd"/>
      <w:r>
        <w:rPr>
          <w:rFonts w:ascii="Times New Roman" w:hAnsi="Times New Roman" w:cs="Times New Roman"/>
          <w:color w:val="000000"/>
        </w:rPr>
        <w:t xml:space="preserve">. Finally,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Oponyo</w:t>
      </w:r>
      <w:proofErr w:type="spellEnd"/>
      <w:r w:rsidR="00E31E0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there is no obligation on a respondent in a civil case to notify the plaintiff of the hearing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date. Counsel cited provisions of Orders 4(3) and 19(4) of Civil Procedure Rules in support of his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view, this appeal raises two main issues to be resolved by the Court. The first is whether the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Court of Appeal erred in confirming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High Court judgment. The second is whether that court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incorrect in its decision to uphold the learned trial Judge’s decision refusing the appellant’s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and orders notwithstanding the reasons given in support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thereof. I will deal with the second issue first, which I regard as one of procedure and discretion.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The respondent, who was then the defendant, having denied liability of the claims contained in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plaint, the plaintiff which is now the appellant, did not file a reply to the averments contained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nor did it reply to the averments contained in the counterclaim.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was to have been heard on 12 March 2001, which turned out to be a public holiday. The case was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subsequently fixed for 28 June 2001. On that day, the appellant and its counsel were absent and as a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result, the court dismissed the claim on the plaint and gave judgment on the counterclaim in favour of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who is now the respondent. It is clear that the trial court was satisfied that the appellant had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prosecute the claim or defend the counterclaim. In my opinion, on the evidence before the court,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acted correctly and in accordance with the law.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13 November 2001, nearly five months later, the appellant filed an application by way of notice of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motion, seeking an order to set aside the judgment, orders and decree of the High Court as well as to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 stay of execution of the judgment of the trial court and set aside the judgment in the counterclaim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favour of the respondent. The main ground, advanced in support of the application, was that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not aware of the hearing date as no hearing notice was served on it. As already noted, both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and the justice of appeal dismissed these reasons as being insufficient to enable them allow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prayers.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Mutaawe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that the court below failed to appraise material facts in this case is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unjustified. In his ruling on the application by the appellant to set aside, the learned trial Judge said: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argument for this is that there is no proof that the plaintiff had been served and made aware of the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hearing during which the suit was dismissed and a decree entered on the counterclaim. First, I want to point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out that as it is the practice, the advocate for the plaintiff did indicate that they would undertake to effect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of process on the defendants. In this case, the summary plaint in paragraph 2 is quite explicit. It states: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‘The defendant is an adult female person of sound mind and trading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Tripple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 Enterprises and the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plaintiff’s advocates undertake to effect service of court process upon the defendant.’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the rule that parties are bound by their pleadings has remained the same and that in view of this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pleading, it is not correct that a defendant who has appeared in court should be the one to prove that he was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served with court process.”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opinion, the learned trial Judge was correct since no reasonable justification was advanced on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the appellant for its absence or that of its counsel.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Departed Asians Property Custodian Board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Issa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Bukenya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18 of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1991 (Supreme Court) (UR), it was held that an application to set aside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cannot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 if no good or substantial reasons are given to justify setting it aside. This is in conformity with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9, rules 20 and 24 of the Civil Procedure Rules. Rule 20(1) governs applications by </w:t>
      </w:r>
      <w:proofErr w:type="gramStart"/>
      <w:r>
        <w:rPr>
          <w:rFonts w:ascii="Times New Roman" w:hAnsi="Times New Roman" w:cs="Times New Roman"/>
          <w:color w:val="000000"/>
        </w:rPr>
        <w:t>plaintiff’s</w:t>
      </w:r>
      <w:proofErr w:type="gramEnd"/>
      <w:r>
        <w:rPr>
          <w:rFonts w:ascii="Times New Roman" w:hAnsi="Times New Roman" w:cs="Times New Roman"/>
          <w:color w:val="000000"/>
        </w:rPr>
        <w:t xml:space="preserve"> who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wish to have suits, which are already disposed of revisited, the </w:t>
      </w:r>
      <w:proofErr w:type="spellStart"/>
      <w:r>
        <w:rPr>
          <w:rFonts w:ascii="Times New Roman" w:hAnsi="Times New Roman" w:cs="Times New Roman"/>
          <w:color w:val="000000"/>
        </w:rPr>
        <w:t>subrule</w:t>
      </w:r>
      <w:proofErr w:type="spellEnd"/>
      <w:r>
        <w:rPr>
          <w:rFonts w:ascii="Times New Roman" w:hAnsi="Times New Roman" w:cs="Times New Roman"/>
          <w:color w:val="000000"/>
        </w:rPr>
        <w:t xml:space="preserve"> provides as follows: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a suit is wholly or partly dismissed under rule 10 of this Order, the plaintiff shall be precluded from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bringing a fresh suit in respect of the same cause of action. But he may apply for an order to set aside and, if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satisfies the court that there were sufficient causes for non-appearance when the suit was called for hearing,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shall make an order setting aside the dismissal upon such terms as to costs or otherwise as it thinks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fit and shall appoint a day for proceeding with the suit.”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Court of Appeal, </w:t>
      </w:r>
      <w:proofErr w:type="spellStart"/>
      <w:r>
        <w:rPr>
          <w:rFonts w:ascii="Times New Roman" w:hAnsi="Times New Roman" w:cs="Times New Roman"/>
          <w:color w:val="000000"/>
        </w:rPr>
        <w:t>Byamugisha</w:t>
      </w:r>
      <w:proofErr w:type="spellEnd"/>
      <w:r>
        <w:rPr>
          <w:rFonts w:ascii="Times New Roman" w:hAnsi="Times New Roman" w:cs="Times New Roman"/>
          <w:color w:val="000000"/>
        </w:rPr>
        <w:t xml:space="preserve"> JA, who gave the lead judgment of that court, agreed with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findings and of reasons given by the trial court for refusing to set aside the judgment and her fellow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justices on the panel concurred. I agree with them. Since the appellant failed to defend the counterclaim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to appear at the trial the courts below were amply justified in dismissing it.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to be noted also that counsel for the appellant participated in the taxation proceedings in the High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which implied knowledge of what had occurred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before. In the Court of Appeal, the learned Justice, who gave the lead judgment, stated the law accurately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she observed: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“When the trial judge discussed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the application, he was exercising his discretion. It is well settled that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appellate court will not interfere with the exercise of discretion unless there has been a failure to take into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 a material consideration or taking into account an immaterial consideration or an error in principle</w:t>
      </w:r>
      <w:r w:rsidR="00E31E0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made.”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 judgment cannot be faulted. Accordingly, I would dismiss grounds 1, 2 and 3 of this appeal.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matter of the counterclaim, counsel for the appellant submitted that the courts below were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 to allow it since the amounts of money claimed were unascertainable. He contended further that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respondent’s claim was for pecuniary damages which were not liquidated damages and therefore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 should have been set down for hearing. 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Oponyo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counterclaim which was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4.8 million was a liquidated sum, which was contained in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5 of the counterclaim. He further contended that as there was no reply to this averment, the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High Court was correct to award it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as liquidated damages. Counsel submitted, correctly in my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view, that the </w:t>
      </w:r>
      <w:r w:rsidR="00E31E03">
        <w:rPr>
          <w:rFonts w:ascii="Times New Roman" w:hAnsi="Times New Roman" w:cs="Times New Roman"/>
          <w:color w:val="000000"/>
        </w:rPr>
        <w:t>respondent’s</w:t>
      </w:r>
      <w:r>
        <w:rPr>
          <w:rFonts w:ascii="Times New Roman" w:hAnsi="Times New Roman" w:cs="Times New Roman"/>
          <w:color w:val="000000"/>
        </w:rPr>
        <w:t xml:space="preserve"> prayer for general damages and other sums of money was not </w:t>
      </w:r>
      <w:proofErr w:type="spellStart"/>
      <w:r>
        <w:rPr>
          <w:rFonts w:ascii="Times New Roman" w:hAnsi="Times New Roman" w:cs="Times New Roman"/>
          <w:color w:val="000000"/>
        </w:rPr>
        <w:t>favourably</w:t>
      </w:r>
      <w:proofErr w:type="spellEnd"/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by the lower courts neither of which awarded those damages or sums of money in this regard.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confirmed the decision of the trial court to enter judgment in the counterclaim and I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with the learned Justices of Appeal. In my opinion, there is no merit in the grounds of this appeal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challenging the judgment of the trial court, in as much as they deal with the counterclaim. I would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dismiss grounds 4, 5 and 6 of this appeal. In light of my decisions on grounds 4, 5 and 6, I do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think it is necessary to consider grounds 7, 8 and 9.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in all, I would dismiss this appeal with costs to the respondents in this Court and in the courts</w:t>
      </w:r>
      <w:r w:rsidR="00E31E0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below and I would confirm the orders made in both the Court of Appeal and the High Court.</w:t>
      </w:r>
      <w:bookmarkStart w:id="0" w:name="_GoBack"/>
      <w:bookmarkEnd w:id="0"/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3673B5" w:rsidRDefault="003673B5" w:rsidP="00367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Mutaawe</w:t>
      </w:r>
      <w:proofErr w:type="spellEnd"/>
    </w:p>
    <w:p w:rsidR="0079295A" w:rsidRDefault="003673B5" w:rsidP="003673B5">
      <w:r>
        <w:rPr>
          <w:rFonts w:ascii="Times New Roman" w:hAnsi="Times New Roman" w:cs="Times New Roman"/>
          <w:color w:val="000000"/>
        </w:rPr>
        <w:t>For the respondent:</w:t>
      </w:r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B5"/>
    <w:rsid w:val="003673B5"/>
    <w:rsid w:val="0079295A"/>
    <w:rsid w:val="00E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D12C1-DD3B-4AAF-8BF2-2F7DFBF0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2018-07-05T05:31:00Z</dcterms:created>
  <dcterms:modified xsi:type="dcterms:W3CDTF">2018-07-11T11:07:00Z</dcterms:modified>
</cp:coreProperties>
</file>