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Electricity Board v Electricity Board Workers’ Union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February 1974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784/1972 (68/74)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Prerogative Orders – Certiorari – Issues to correct the performance of a duty which has been</w:t>
      </w:r>
      <w:r w:rsidR="0020173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improperly performed.</w:t>
      </w:r>
    </w:p>
    <w:p w:rsidR="007A6AE1" w:rsidRPr="0020173D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Industrial dispute – Award of industrial tribunal – Reference for</w:t>
      </w:r>
      <w:r w:rsidR="0020173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interpretation only where award ambiguous – Trade Disputes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Arbitration &amp; Settlement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200),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11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Electricity – Tariff – Undue preference – Established by concessionary rate to employees of Board –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Electricity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135),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13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Industrial Court of Uganda made an award that the plaintiff should provide electricity to its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at a concessionary rate. Such an award would become part of the plaintiff’s employee’s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contracts of service.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applied to the court for an order of certiorari to quash the award on the ground that it was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 in ordering the plaintiff to show undue preference to a class of persons in fixing its tariff.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 it was contended that the remedy sought should have been mandamus and not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certiorari, that the matter should first have been referred to the Industrial Court for interpretation, and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special rate could be given to the plaintiff’s employees.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20173D">
        <w:rPr>
          <w:rFonts w:ascii="Times New Roman" w:hAnsi="Times New Roman" w:cs="Times New Roman"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 properly lies to correct the performance of a duty which has been improperly performed;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reference to the Industrial Court for interpretation may only be made where an award is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ambiguous (</w:t>
      </w:r>
      <w:r>
        <w:rPr>
          <w:rFonts w:ascii="Times New Roman" w:hAnsi="Times New Roman" w:cs="Times New Roman"/>
          <w:i/>
          <w:iCs/>
          <w:color w:val="000000"/>
        </w:rPr>
        <w:t xml:space="preserve">Re Industrial Court Uganda </w:t>
      </w:r>
      <w:r>
        <w:rPr>
          <w:rFonts w:ascii="Times New Roman" w:hAnsi="Times New Roman" w:cs="Times New Roman"/>
          <w:color w:val="000000"/>
        </w:rPr>
        <w:t>(2) considered);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special rate to the plaintiff’s employees would be illegal as an undue preference;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award would therefore be quashed.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Award quashed.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National Arbitration Tribunal Exp. Horatio Crowther</w:t>
      </w:r>
      <w:r>
        <w:rPr>
          <w:rFonts w:ascii="Times New Roman" w:hAnsi="Times New Roman" w:cs="Times New Roman"/>
          <w:color w:val="000000"/>
        </w:rPr>
        <w:t>, [1948] 1 K.B. 424; [1947] 2 All E.R.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693.</w:t>
      </w:r>
    </w:p>
    <w:p w:rsidR="007A6AE1" w:rsidRDefault="0020173D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7A6AE1">
        <w:rPr>
          <w:rFonts w:ascii="Times New Roman" w:hAnsi="Times New Roman" w:cs="Times New Roman"/>
          <w:color w:val="000000"/>
        </w:rPr>
        <w:t xml:space="preserve">(2) </w:t>
      </w:r>
      <w:r w:rsidR="007A6AE1">
        <w:rPr>
          <w:rFonts w:ascii="Times New Roman" w:hAnsi="Times New Roman" w:cs="Times New Roman"/>
          <w:i/>
          <w:iCs/>
          <w:color w:val="000000"/>
        </w:rPr>
        <w:t>Re Industrial Court, Uganda</w:t>
      </w:r>
      <w:r w:rsidR="007A6AE1">
        <w:rPr>
          <w:rFonts w:ascii="Times New Roman" w:hAnsi="Times New Roman" w:cs="Times New Roman"/>
          <w:color w:val="000000"/>
        </w:rPr>
        <w:t>, [1967] E.A. 221.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Amalgamated Transport &amp; General Workers Union v. Uganda Transport Co</w:t>
      </w:r>
      <w:r>
        <w:rPr>
          <w:rFonts w:ascii="Times New Roman" w:hAnsi="Times New Roman" w:cs="Times New Roman"/>
          <w:color w:val="000000"/>
        </w:rPr>
        <w:t>. Misc. C.C. 99 of 1972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unreported</w:t>
      </w:r>
      <w:proofErr w:type="gramEnd"/>
      <w:r>
        <w:rPr>
          <w:rFonts w:ascii="Times New Roman" w:hAnsi="Times New Roman" w:cs="Times New Roman"/>
          <w:color w:val="000000"/>
        </w:rPr>
        <w:t>).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Manyindo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A trade dispute between the Uganda Electricity Board (hereinafter referred to as “the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plaintiff”) and the Uganda Electricity Board Workers Union (hereinafter referred to as “the defendant”)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referred to the Industrial Court of Uganda.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were three terms of reference. It is the third term which is the subject matter of this suit. The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had claimed for payment, by the plaintiff, of a subsidy on electricity tariffs for current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consumed by the members of the defendant union. The Industrial Court held that union members working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plaintiff should be </w:t>
      </w:r>
      <w:proofErr w:type="spellStart"/>
      <w:r>
        <w:rPr>
          <w:rFonts w:ascii="Times New Roman" w:hAnsi="Times New Roman" w:cs="Times New Roman"/>
          <w:color w:val="000000"/>
        </w:rPr>
        <w:t>subsidised</w:t>
      </w:r>
      <w:proofErr w:type="spellEnd"/>
      <w:r>
        <w:rPr>
          <w:rFonts w:ascii="Times New Roman" w:hAnsi="Times New Roman" w:cs="Times New Roman"/>
          <w:color w:val="000000"/>
        </w:rPr>
        <w:t xml:space="preserve"> at a flat rate of 30 cents per unit. It made its award in those terms.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came to this court praying for an order of certiorari to remove into this court, under s. 34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</w:t>
      </w:r>
      <w:proofErr w:type="gramEnd"/>
      <w:r>
        <w:rPr>
          <w:rFonts w:ascii="Times New Roman" w:hAnsi="Times New Roman" w:cs="Times New Roman"/>
          <w:color w:val="000000"/>
        </w:rPr>
        <w:t xml:space="preserve"> of the Judicature Act 1967, that part of the award for the purpose of quashing the same. In the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alternative the plaintiff sought a declaration that that part of the award is illegal and void and that the</w:t>
      </w:r>
      <w:r w:rsidR="002017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is not bound by it.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is a statutory corporation incorporated by the Electricity Act (Cap. 135). S. 13 (1) of that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governs tariffs. It provides: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“13 (1). The prices to be charged by the Board for electricity to be supplied by it shall be so fixed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enable the Board to comply with the provisions of section 8 of this Act and, subject to the</w:t>
      </w:r>
      <w:r w:rsidR="002017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this section, such prices shall be: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in accordance with such tariffs as may from time to time be fixed by the Board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 consultation with the council (the consultative council established under section 11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Act); or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tariffs in force are not appropriate owing to special circumstances, as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agreed between the Board and the consumer to whom the electricity is or is not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supplied.”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8 of the Act simply enjoins the plaintiff to ensure that the revenue of the plaintiff exceeds its outgoings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chargeable to the revenue account.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contended that the award of the Industrial Court is illegal and void in as much as it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compels the plaintiff to accord to its employees undue preferential treatment in charging them for the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consumed, contrary to s. 13 (4) of the Electricity Act. That section reads: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“13 (4). The Board, in fixing tariffs and making agreements under the provisions of this section, shall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show undue preference to any person or class of persons and shall not exercise any undue</w:t>
      </w:r>
      <w:r w:rsidR="00C530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discrimination against any person or class of persons.”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point that falls for decision is simply whether the award of the Industrial Court was legal or not. The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intention in s. 13 (4) quoted above seems clear to me. It is that consumers should be charged equally. It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submitted by counsel for the defendant that there was a special circumstance (within the meaning of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13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Electricity Act quoted above) created by the fact of the special relationship of master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servant that exists between the plaintiff and the defendant. With respect that meaning is not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forthcoming from that provision.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also argued, with some force, that the case was not properly before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 In his view the matter should have been referred to the Industrial Court for interpretation under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11 (1) of the Trade Disputes (Arbitration and Settlement) Act (Cap. 200) because the award was not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in that no clear finding was made as to whether or not the subsidy would conflict with s. 13 (4) of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Electricity Act. Again, with respect I cannot agree. The award is quite clear. This is what the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Court said: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. . . . The Court considers that the claimant union should have their electricity costs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subsidised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Board at 30 cents per unit which is step 2 and so awards.”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only when an award is ambiguous that it will be referred for interpretation: See </w:t>
      </w:r>
      <w:r>
        <w:rPr>
          <w:rFonts w:ascii="Times New Roman" w:hAnsi="Times New Roman" w:cs="Times New Roman"/>
          <w:i/>
          <w:iCs/>
          <w:color w:val="000000"/>
        </w:rPr>
        <w:t>Re Industrial Court</w:t>
      </w:r>
      <w:r>
        <w:rPr>
          <w:rFonts w:ascii="Times New Roman" w:hAnsi="Times New Roman" w:cs="Times New Roman"/>
          <w:color w:val="000000"/>
        </w:rPr>
        <w:t>,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[1967] E.A. 221.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evidence, which was not disputed, that a Mr. Tierney who was employed by the plaintiff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who has since left his job for good had his electricity bill </w:t>
      </w:r>
      <w:proofErr w:type="spellStart"/>
      <w:r>
        <w:rPr>
          <w:rFonts w:ascii="Times New Roman" w:hAnsi="Times New Roman" w:cs="Times New Roman"/>
          <w:color w:val="000000"/>
        </w:rPr>
        <w:t>subsidised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plaintiff. Counsel for the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contended that the plaintiff was duty bound to give same treatment to all its employees. This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seems to have influenced the Industrial Court in making its award. That court had found as a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the subsidy which Mr. Tierney received “was an act of discrimination by the Board among its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employees” and that all its employees “should be awarded the same fringe benefits, no matter whether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are members of the union or not”.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maintained that they were wrong in treating Mr. Tierney as they did and that they should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compelled by this court to commit yet another wrong since two wrongs don’t make a right. I think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substance in this argument. Fringe benefits cannot be obtained in this manner. They should be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terms of employment. There was no evidence that the plaintiff paid the difference in respect of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Tierney’s electricity bill. The award clearly allows the members of the defendant union to receive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electricity at a cheaper price than other consumers. This is what s. 13 (4) prohibits. In my opinion fringe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benefits which are prohibited by law cannot be upheld by any reasonable tribunal.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s. 10 of the Trade Disputes (Arbitration and Settlement) Act (Cap. 200) an award of the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Industrial Court becomes a term of the contract of employment. Thus this award makes it a contractual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of employment for the plaintiff to tax the defendant less than other consumers for the electric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supplied. This would amount to forcing the plaintiff to implement an illegal contract as the rate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specified in the award would contravene the clear provisions of the Electricity Act.</w:t>
      </w:r>
    </w:p>
    <w:p w:rsidR="007A6AE1" w:rsidRPr="00C5309F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defendant ventured yet another interesting argument. He submitted that this suit was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 brought to this court on the ground that the only remedy lay in an order of mandamus. In support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this proposition he cited the case of </w:t>
      </w:r>
      <w:r>
        <w:rPr>
          <w:rFonts w:ascii="Times New Roman" w:hAnsi="Times New Roman" w:cs="Times New Roman"/>
          <w:i/>
          <w:iCs/>
          <w:color w:val="000000"/>
        </w:rPr>
        <w:t>Amalgamated Transport &amp; General Workers Union v. Uganda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Transport Co</w:t>
      </w:r>
      <w:r>
        <w:rPr>
          <w:rFonts w:ascii="Times New Roman" w:hAnsi="Times New Roman" w:cs="Times New Roman"/>
          <w:color w:val="000000"/>
        </w:rPr>
        <w:t>. Misc. C.C. 99 of 1972. In that case an application was made to this court by notice of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to set aside, on review, an award made by the Industrial Court. This court was urged to act under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inherent powers. Dismissing the application as being incompetent </w:t>
      </w:r>
      <w:proofErr w:type="spellStart"/>
      <w:r>
        <w:rPr>
          <w:rFonts w:ascii="Times New Roman" w:hAnsi="Times New Roman" w:cs="Times New Roman"/>
          <w:color w:val="000000"/>
        </w:rPr>
        <w:t>Phadke</w:t>
      </w:r>
      <w:proofErr w:type="spellEnd"/>
      <w:r>
        <w:rPr>
          <w:rFonts w:ascii="Times New Roman" w:hAnsi="Times New Roman" w:cs="Times New Roman"/>
          <w:color w:val="000000"/>
        </w:rPr>
        <w:t>, J. held that he could not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 the inherent powers of the court as there were other statutory provisions which provide a remedy.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judge did say, </w:t>
      </w:r>
      <w:r w:rsidR="00C5309F">
        <w:rPr>
          <w:rFonts w:ascii="Times New Roman" w:hAnsi="Times New Roman" w:cs="Times New Roman"/>
          <w:color w:val="000000"/>
        </w:rPr>
        <w:t>obiter that</w:t>
      </w:r>
      <w:r>
        <w:rPr>
          <w:rFonts w:ascii="Times New Roman" w:hAnsi="Times New Roman" w:cs="Times New Roman"/>
          <w:color w:val="000000"/>
        </w:rPr>
        <w:t xml:space="preserve"> the better course would have been by way of an application for the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a writ of mandamus to the Industrial court under the relevant provisions of the Judicature Act.</w:t>
      </w:r>
    </w:p>
    <w:p w:rsidR="007A6AE1" w:rsidRPr="00C5309F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did not decide on this point and even if he had on the facts of that case I doubt, with respect, if he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been right. Mandamus goes out to get the thing done while certiorari is relevant only in a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where a duty has been performed but performed wrongly.</w:t>
      </w:r>
    </w:p>
    <w:p w:rsidR="007A6AE1" w:rsidRPr="00C5309F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Mandamus would thus appear not to be relevant to the present case. I am of the view that the proper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was followed in the instant case: See </w:t>
      </w:r>
      <w:r>
        <w:rPr>
          <w:rFonts w:ascii="Times New Roman" w:hAnsi="Times New Roman" w:cs="Times New Roman"/>
          <w:i/>
          <w:iCs/>
          <w:color w:val="000000"/>
        </w:rPr>
        <w:t>R. v. National Arbitration Tribunal, Ex. p. Horatio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Crowther</w:t>
      </w:r>
      <w:r>
        <w:rPr>
          <w:rFonts w:ascii="Times New Roman" w:hAnsi="Times New Roman" w:cs="Times New Roman"/>
          <w:color w:val="000000"/>
        </w:rPr>
        <w:t>, [1947] 2 All E.R. 693.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Award was illegal and therefore void. I accordingly grant the writ of certiorari to bring up that</w:t>
      </w:r>
      <w:r w:rsidR="00C530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award so that it be quashed. The plaintiff will have the costs of this suit.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  <w:bookmarkStart w:id="0" w:name="_GoBack"/>
      <w:bookmarkEnd w:id="0"/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Kasibayo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7A6AE1" w:rsidRDefault="007A6AE1" w:rsidP="007A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B48C8" w:rsidRDefault="007A6AE1" w:rsidP="007A6AE1"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Kulubya</w:t>
      </w:r>
      <w:proofErr w:type="spellEnd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E1"/>
    <w:rsid w:val="0020173D"/>
    <w:rsid w:val="006B48C8"/>
    <w:rsid w:val="007A6AE1"/>
    <w:rsid w:val="00892D3D"/>
    <w:rsid w:val="00C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6E1F9-46D9-4E2C-AF2B-D197215C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2018-07-05T13:56:00Z</dcterms:created>
  <dcterms:modified xsi:type="dcterms:W3CDTF">2018-07-11T10:56:00Z</dcterms:modified>
</cp:coreProperties>
</file>