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16A" w:rsidRDefault="00B6616A" w:rsidP="00CC0A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Uganda Telecom Limited v Tanzanite Corporation</w:t>
      </w:r>
    </w:p>
    <w:p w:rsidR="00B6616A" w:rsidRDefault="00B6616A" w:rsidP="00CC0A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B6616A" w:rsidRDefault="00B6616A" w:rsidP="00CC0A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23 May 2005</w:t>
      </w:r>
    </w:p>
    <w:p w:rsidR="00B6616A" w:rsidRDefault="00B6616A" w:rsidP="00CC0A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17/04</w:t>
      </w:r>
    </w:p>
    <w:p w:rsidR="00B6616A" w:rsidRDefault="00B6616A" w:rsidP="00CC0A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CJ, Oder,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B6616A" w:rsidRDefault="00B6616A" w:rsidP="00CC0A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bookmarkEnd w:id="0"/>
    <w:p w:rsidR="00B6616A" w:rsidRDefault="00B6616A" w:rsidP="00B6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Contract – Formation of contract – Uncertainty of terms – Supply of telephone sets – Breach of</w:t>
      </w:r>
      <w:r w:rsidR="009F3EC5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contract – Loss of unused materials – Whether a contract existed between the parties – Whether the</w:t>
      </w:r>
      <w:r w:rsidR="009F3EC5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appellants were liable to pay damages for loss of unused materials.</w:t>
      </w:r>
    </w:p>
    <w:p w:rsidR="00B6616A" w:rsidRDefault="009F3EC5" w:rsidP="00B6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B6616A">
        <w:rPr>
          <w:rFonts w:ascii="Times New Roman" w:hAnsi="Times New Roman" w:cs="Times New Roman"/>
          <w:i/>
          <w:iCs/>
          <w:color w:val="000000"/>
        </w:rPr>
        <w:t>[2] Remedies – Damages – Award of special damages – Requirements for the award of special damages</w:t>
      </w:r>
    </w:p>
    <w:p w:rsidR="00B6616A" w:rsidRDefault="00B6616A" w:rsidP="00B6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– Special damages must be claimed and proved – Whether the respondents had satisfied the conditions</w:t>
      </w:r>
      <w:r w:rsidR="009F3EC5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for the award of special damages.</w:t>
      </w:r>
    </w:p>
    <w:p w:rsidR="00B6616A" w:rsidRDefault="00B6616A" w:rsidP="00B6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B6616A" w:rsidRDefault="00B6616A" w:rsidP="00B6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respondents were a telecommunications company seeking to do business in Uganda. They entered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into negotiations with Uganda Post and Telecommunication Corporation Ltd (UPTCL) to sell telephones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latter. These negotiations resulted in a commitment letter from UPTCL dated 6 July 1993. On 27</w:t>
      </w:r>
    </w:p>
    <w:p w:rsidR="00B6616A" w:rsidRDefault="00B6616A" w:rsidP="00B6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September 1994, the respondents sent 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proforma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invoice to the appellants offering to supply them with</w:t>
      </w:r>
    </w:p>
    <w:p w:rsidR="00B6616A" w:rsidRDefault="00B6616A" w:rsidP="00B6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10 000 Model TA-101 telephone sets at US$ 44.75 per set. The respondents also inquired as to UPTCL’s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demand market. In a letter dated 23 December 1994, the appellants’ managing director acknowledged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receipt of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proforma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invoice and the terms specified therein. He stated that the appellants had the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capacity to purchase 30 000 telephone sets on those terms and that it was likely that they would need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telephone sets beyond the initial order. However, the additional units would be acquired by local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purchase order (LPO) from the respondents’ warehouse. Attached to this letter was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proforma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invoice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managing director’s signature.</w:t>
      </w:r>
    </w:p>
    <w:p w:rsidR="00B6616A" w:rsidRDefault="00B6616A" w:rsidP="00B6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respondents treated the letter and signed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proforma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invoice as a counter-offer to purchase 30, 000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telephone sets whose terms they then accepted by signing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proforma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invoice on 21 January 1995.</w:t>
      </w:r>
    </w:p>
    <w:p w:rsidR="00B6616A" w:rsidRDefault="00B6616A" w:rsidP="00B6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They thereafter started </w:t>
      </w:r>
      <w:proofErr w:type="spellStart"/>
      <w:r>
        <w:rPr>
          <w:rFonts w:ascii="Times New Roman" w:hAnsi="Times New Roman" w:cs="Times New Roman"/>
          <w:color w:val="000000"/>
        </w:rPr>
        <w:t>mobilising</w:t>
      </w:r>
      <w:proofErr w:type="spellEnd"/>
      <w:r>
        <w:rPr>
          <w:rFonts w:ascii="Times New Roman" w:hAnsi="Times New Roman" w:cs="Times New Roman"/>
          <w:color w:val="000000"/>
        </w:rPr>
        <w:t xml:space="preserve"> funds to buy the necessary materials to assemble the 30 000 telephone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sets. As part of their efforts to obtain funds they sought a loan from the Co-operative Bank. They claimed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on 25 April 1995, the appellants wrote a letter to the bank representing that a contractual relationship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existed between them (the appellants) and the respondents averring that they would pay the amount due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respondents directly to the bank. It was alleged that on the strength of this representation the bank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induced to give them the loan. In the event, the appellants only took, and paid for, 3, 000 telephone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sets, leaving the respondents with unsold sets, unused materials and an </w:t>
      </w:r>
      <w:proofErr w:type="spellStart"/>
      <w:r>
        <w:rPr>
          <w:rFonts w:ascii="Times New Roman" w:hAnsi="Times New Roman" w:cs="Times New Roman"/>
          <w:color w:val="000000"/>
        </w:rPr>
        <w:t>unserviced</w:t>
      </w:r>
      <w:proofErr w:type="spellEnd"/>
      <w:r>
        <w:rPr>
          <w:rFonts w:ascii="Times New Roman" w:hAnsi="Times New Roman" w:cs="Times New Roman"/>
          <w:color w:val="000000"/>
        </w:rPr>
        <w:t xml:space="preserve"> bank loan.</w:t>
      </w:r>
    </w:p>
    <w:p w:rsidR="00B6616A" w:rsidRDefault="00B6616A" w:rsidP="00B6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respondents then sued UPTCL and the appellants in the High Court for breach of contract.</w:t>
      </w:r>
    </w:p>
    <w:p w:rsidR="00B6616A" w:rsidRDefault="00B6616A" w:rsidP="00B6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Among the remedies sought were loss of profits, loss of unused materials, unpaid bank loan, general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damages, interest and costs of the suit. UPTCL was not served with summons. However, the appellants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defended the suit, denying that any contract existed between the two parties. Five issues were framed for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trial: 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whether a contract for the supply of 30 000 telephone sets existed, (ii) whether the appellants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breached the contract, (iii) whether the respondents suffered any damages as a result of the breach, (iv)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whether there was a guarantee of the loan to the respondents, and (v) whether the respondents were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entitled to the remedies sought. The trial court resolved the first four issues in favour of the appellants</w:t>
      </w:r>
    </w:p>
    <w:p w:rsidR="00B6616A" w:rsidRDefault="00B6616A" w:rsidP="00B6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but</w:t>
      </w:r>
      <w:proofErr w:type="gramEnd"/>
      <w:r>
        <w:rPr>
          <w:rFonts w:ascii="Times New Roman" w:hAnsi="Times New Roman" w:cs="Times New Roman"/>
          <w:color w:val="000000"/>
        </w:rPr>
        <w:t xml:space="preserve"> awarded the respondents US$ 260 000 as the cost of unused material with interest thereon, as well as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half the costs of the suit.</w:t>
      </w:r>
    </w:p>
    <w:p w:rsidR="00B6616A" w:rsidRDefault="00B6616A" w:rsidP="00B6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respondents were dissatisfied with the trial court’s decision and appealed to the Court of Appeal.</w:t>
      </w:r>
    </w:p>
    <w:p w:rsidR="00B6616A" w:rsidRDefault="00B6616A" w:rsidP="00B6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appellate court allowed the appeal and granted all the remedies sought by the respondents. The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 now appealed to Supreme Court on the grounds that the Court of Appeal had erred in finding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there was a contract between the appellants and the respondents and in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finding that there was a breach of the contract. In the alternative, they argued that the Court of Appeal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erred in awarding general damages in addition to the award for loss of profits and in finding that the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 for the unpaid bank loan had been proved. The respondents cross-appealed on the grounds that the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 of Appeal had erred in failing to </w:t>
      </w:r>
      <w:r>
        <w:rPr>
          <w:rFonts w:ascii="Times New Roman" w:hAnsi="Times New Roman" w:cs="Times New Roman"/>
          <w:color w:val="000000"/>
        </w:rPr>
        <w:lastRenderedPageBreak/>
        <w:t>award interest on the unpaid bank loan and in failing to award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interest for loss of profits from the date of filing suit.</w:t>
      </w:r>
    </w:p>
    <w:p w:rsidR="00B6616A" w:rsidRDefault="00B6616A" w:rsidP="00B6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primary issue before the trial court was whether there was a contract for the supply of 30,</w:t>
      </w:r>
    </w:p>
    <w:p w:rsidR="00B6616A" w:rsidRDefault="00B6616A" w:rsidP="00B6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000 telephone sets or not. This question was answered in the negative by the trial court, which found that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had been several independent contracts between the parties. The Court of Appeal on the other hand,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held that there was a contract for the supply of 30 000 sets. It was therefore clear that the courts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below had not made concurrent findings of fact. The trial court’s finding that there was no contract was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be preferred as the letter written by the appellants to the respondents was an offer to treat and not an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offer of a contract.</w:t>
      </w:r>
    </w:p>
    <w:p w:rsidR="00B6616A" w:rsidRDefault="00B6616A" w:rsidP="00B6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letter of 25 April 1995, from the appellants to the bank, was not evidence that a contract existed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supply of 30 000 telephone sets. Though the letter mentioned such a contract, it did not specify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number of sets nor the other conditions of such a contract. The Court of Appeal erred in holding that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default by the respondent to repay the loan was an event foreseeable by both parties when the appellants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wrote to the bank. The Court of Appeal was, therefore, wrong to award the respondent damages for the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unpaid bank loan.</w:t>
      </w:r>
    </w:p>
    <w:p w:rsidR="00B6616A" w:rsidRDefault="00B6616A" w:rsidP="00B6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Court of Appeal erred in finding that there was a contract between the parties for the supply of 30</w:t>
      </w:r>
    </w:p>
    <w:p w:rsidR="00B6616A" w:rsidRDefault="00B6616A" w:rsidP="00B6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000 sets. As the contract did not exist, the issue of the appellants being in breach of it did not arise.</w:t>
      </w:r>
    </w:p>
    <w:p w:rsidR="00B6616A" w:rsidRDefault="00B6616A" w:rsidP="00B6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a claim for damages for breach of contract for sale of goods, both the provisions of the Sale of</w:t>
      </w:r>
    </w:p>
    <w:p w:rsidR="00B6616A" w:rsidRDefault="00B6616A" w:rsidP="00B6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Goods Act and the legal principles on pleading and proof of special damages were relevant. There was no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 for the law relating to the sale of goods to be different from the law relating to the performance of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other contractual obligations; </w:t>
      </w:r>
      <w:r>
        <w:rPr>
          <w:rFonts w:ascii="Times New Roman" w:hAnsi="Times New Roman" w:cs="Times New Roman"/>
          <w:i/>
          <w:iCs/>
          <w:color w:val="000000"/>
        </w:rPr>
        <w:t xml:space="preserve">Reardon Smith Line v Hansen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Tangen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supra) </w:t>
      </w:r>
      <w:r>
        <w:rPr>
          <w:rFonts w:ascii="Times New Roman" w:hAnsi="Times New Roman" w:cs="Times New Roman"/>
          <w:color w:val="000000"/>
        </w:rPr>
        <w:t>applied. The respondents’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pleadings for loss of unused materials and for the unpaid bank loan were special damages. Such damages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 not be recovered unless they were specifically claimed and proved or unless the best available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particulars or details had been communicated to the party against whom they were claimed before the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trial. With regard to the loss of profits, the respondent had not adduced evidence to prove how the figure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claimed had been calculated. The Court of Appeal had, thus, erred in holding that because the suit was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about the sale of goods, the legal requirement that special damages must be specifically proved was not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applicable.</w:t>
      </w:r>
    </w:p>
    <w:p w:rsidR="00B6616A" w:rsidRDefault="00B6616A" w:rsidP="00B6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courts below had erred in awarding the respondent damages for loss of unused material. There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been no contract for the supply of telephone sets, it was inconsistent to hold the appellants liable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unused material allegedly ordered to perform a non-existent contract. Moreover, it was a crucial part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respondent’s case that they had a factory in Uganda to assemble telephones and their failure to</w:t>
      </w:r>
      <w:r w:rsidR="009F3EC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prove the existence of the factory to the required standard was fatal to their case.</w:t>
      </w:r>
    </w:p>
    <w:p w:rsidR="00B6616A" w:rsidRDefault="00B6616A" w:rsidP="00B6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allowed. Cross-appeal dismissed with costs.</w:t>
      </w:r>
    </w:p>
    <w:p w:rsidR="00B6616A" w:rsidRDefault="00B6616A" w:rsidP="00B6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B6616A" w:rsidRDefault="00B6616A" w:rsidP="00B6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B6616A" w:rsidRDefault="00B6616A" w:rsidP="00B6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B6616A" w:rsidRDefault="00B6616A" w:rsidP="00B6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B6616A" w:rsidRDefault="00B6616A" w:rsidP="00B6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B6616A" w:rsidRDefault="00B6616A" w:rsidP="00B6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Banco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Arabe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Espanol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Bank of Uganda </w:t>
      </w:r>
      <w:r>
        <w:rPr>
          <w:rFonts w:ascii="Times New Roman" w:hAnsi="Times New Roman" w:cs="Times New Roman"/>
          <w:color w:val="000000"/>
        </w:rPr>
        <w:t>[1999] 2 EA</w:t>
      </w:r>
    </w:p>
    <w:p w:rsidR="00B6616A" w:rsidRDefault="00B6616A" w:rsidP="00B6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Erisafani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Mudumba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Wilberforce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Kuluse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appeal number 9 of 2002 (SCU) UR</w:t>
      </w:r>
    </w:p>
    <w:p w:rsidR="00B6616A" w:rsidRDefault="00B6616A" w:rsidP="00B6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Lutaya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Attorney-General </w:t>
      </w:r>
      <w:r>
        <w:rPr>
          <w:rFonts w:ascii="Times New Roman" w:hAnsi="Times New Roman" w:cs="Times New Roman"/>
          <w:color w:val="000000"/>
        </w:rPr>
        <w:t>Civil appeal number 10 of 2002 (SCU) UR</w:t>
      </w:r>
    </w:p>
    <w:p w:rsidR="00B6616A" w:rsidRDefault="00B6616A" w:rsidP="00B6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Milly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Masembe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Sugar Corporation and another </w:t>
      </w:r>
      <w:r>
        <w:rPr>
          <w:rFonts w:ascii="Times New Roman" w:hAnsi="Times New Roman" w:cs="Times New Roman"/>
          <w:color w:val="000000"/>
        </w:rPr>
        <w:t>Civil appeal number 1 of 2000 (SCU) UR</w:t>
      </w:r>
    </w:p>
    <w:p w:rsidR="00B6616A" w:rsidRDefault="00B6616A" w:rsidP="00B6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Siree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Lake Turkana El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Molo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Lodges Limited </w:t>
      </w:r>
      <w:r>
        <w:rPr>
          <w:rFonts w:ascii="Times New Roman" w:hAnsi="Times New Roman" w:cs="Times New Roman"/>
          <w:color w:val="000000"/>
        </w:rPr>
        <w:t>[2000] 2 EA 520</w:t>
      </w:r>
    </w:p>
    <w:p w:rsidR="00B6616A" w:rsidRDefault="00B6616A" w:rsidP="00B6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B6616A" w:rsidRDefault="00B6616A" w:rsidP="00B6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Barrow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Amand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[1846] 8 QB 610</w:t>
      </w:r>
    </w:p>
    <w:p w:rsidR="00B6616A" w:rsidRDefault="00B6616A" w:rsidP="00B6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Cehave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N.V v Bremer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Handek-geseellchaf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in 6H </w:t>
      </w:r>
      <w:r>
        <w:rPr>
          <w:rFonts w:ascii="Times New Roman" w:hAnsi="Times New Roman" w:cs="Times New Roman"/>
          <w:color w:val="000000"/>
        </w:rPr>
        <w:t>[1976) QB 44, 71:</w:t>
      </w:r>
    </w:p>
    <w:p w:rsidR="00B6616A" w:rsidRDefault="00B6616A" w:rsidP="00B6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Reardon Smith Line 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Yngvar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Hamsen-Tangen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[1976] 1 WLR 989 at 998</w:t>
      </w:r>
    </w:p>
    <w:p w:rsidR="00B6616A" w:rsidRDefault="00B6616A" w:rsidP="00B66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May and Butcher Limited v The Kin g </w:t>
      </w:r>
      <w:r>
        <w:rPr>
          <w:rFonts w:ascii="Times New Roman" w:hAnsi="Times New Roman" w:cs="Times New Roman"/>
          <w:color w:val="000000"/>
        </w:rPr>
        <w:t>[1934] 2 KB 17, CA</w:t>
      </w:r>
    </w:p>
    <w:p w:rsidR="0079295A" w:rsidRDefault="00B6616A" w:rsidP="00B6616A">
      <w:r>
        <w:rPr>
          <w:rFonts w:ascii="Times New Roman" w:hAnsi="Times New Roman" w:cs="Times New Roman"/>
          <w:i/>
          <w:iCs/>
          <w:color w:val="000000"/>
        </w:rPr>
        <w:t xml:space="preserve">Reardon Smith Line 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Yngvar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Hamsen-Tangen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Trading as HE Hansen-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Tangen</w:t>
      </w:r>
      <w:proofErr w:type="spellEnd"/>
      <w:r>
        <w:rPr>
          <w:rFonts w:ascii="Times New Roman" w:hAnsi="Times New Roman" w:cs="Times New Roman"/>
          <w:color w:val="000000"/>
        </w:rPr>
        <w:t>) [1976] 1 WLR</w:t>
      </w:r>
    </w:p>
    <w:sectPr w:rsidR="00792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6A"/>
    <w:rsid w:val="0079295A"/>
    <w:rsid w:val="009F3EC5"/>
    <w:rsid w:val="00B6616A"/>
    <w:rsid w:val="00CC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D0010-555D-434F-BD41-5D31F8AE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4</cp:revision>
  <dcterms:created xsi:type="dcterms:W3CDTF">2018-07-05T05:32:00Z</dcterms:created>
  <dcterms:modified xsi:type="dcterms:W3CDTF">2018-07-11T10:20:00Z</dcterms:modified>
</cp:coreProperties>
</file>