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Edirisa</w:t>
      </w:r>
    </w:p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July 1974</w:t>
      </w:r>
    </w:p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137/1974 (29/75)</w:t>
      </w:r>
    </w:p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Wambuzi CJ</w:t>
      </w:r>
    </w:p>
    <w:p w:rsidR="00E603CF" w:rsidRDefault="00E603CF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E603CF" w:rsidRPr="005671DC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Costs – Accused discharged not acquitted – No costs may be</w:t>
      </w:r>
      <w:r w:rsidR="005671D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awarded – Magistrates’ Courts Acts s. </w:t>
      </w:r>
      <w:r>
        <w:rPr>
          <w:rFonts w:ascii="Times New Roman" w:hAnsi="Times New Roman" w:cs="Times New Roman"/>
          <w:color w:val="000000"/>
        </w:rPr>
        <w:t>207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Compensation – Private prosecution withdrawn not dismissed –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No compensation may be awarded – Magistrates’ Courts’ Act s. </w:t>
      </w:r>
      <w:r>
        <w:rPr>
          <w:rFonts w:ascii="Times New Roman" w:hAnsi="Times New Roman" w:cs="Times New Roman"/>
          <w:color w:val="000000"/>
        </w:rPr>
        <w:t>208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.).</w:t>
      </w:r>
    </w:p>
    <w:p w:rsidR="005671DC" w:rsidRDefault="005671DC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E603CF" w:rsidRDefault="005671DC" w:rsidP="005671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Wambuzi CJ: </w:t>
      </w:r>
      <w:r>
        <w:rPr>
          <w:rFonts w:ascii="Times New Roman" w:hAnsi="Times New Roman" w:cs="Times New Roman"/>
          <w:color w:val="000000"/>
        </w:rPr>
        <w:t>The accused was charged with theft contrary to s. 252 of the Penal Code. It appears that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accused appeared before a magistrate grade II on 12 July 1973 when he pleaded not guilty to the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charge. He again appeared before the magistrate on the 7 September 1973 when the complainant applied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withdraw the charge. The record shows that the charge was withdrawn under s. 119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Magistrates’ Courts Act and the accused was discharged. The record then shows the following orders to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made: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“As to costs (s. 207, M.C.A.), the complainant is to pay Shs. 150/- for the advocate’s mileage (150 miles @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1/-). Accused’s attendance from Mbirizi: Shs. 20/-. Advocate’s attendance thrice: Shs. 150/-.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For compensation: the court observes on the record that accused was detained for one day. Having regard to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business, and public respect attached to it, the court shall award a gross sum of Shs. 330/-; for caning his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body unlawfully, accused will recover Shs. 100/-. Thus a total of Shs. 820/- shall be payable to the accused by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complainant.”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would appear that the accused was caned on the directions of a Gombolola Chief.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207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Magistrates’ Courts Act provides: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“Any court may order the payment of costs in any of the following circumstances: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to any person acquitted of any offence by such court, by the prosecutor, whether public or private, if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court considers that the prosecutor had no reasonable grounds for prosecuting such person . . .”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119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under which the trial magistrate quite rightly acted provides that if the withdrawal is made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accused is called upon to make his defence the accused person “shall be discharged”. The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in this case was in fact discharged and not acquitted as required by s. 207 (1)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in order to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attract any order for costs. I cannot see therefore that s. 207 applied to this case.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Similarly s. 208 of the Magistrates’ Courts Act provides: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“208. If on the dismissal of any private prosecution by a magistrates court, the court shall be of opinion that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charge was frivolous or vexatious, such court may order the private prosecutor to pay to the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accused person, in addition to his costs, a reasonable sum as compensation for the trouble and expense</w:t>
      </w:r>
      <w:r w:rsidR="005671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which such person may have been put by reason of such charge.”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nothing in s. 119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 says that if a charge is withdrawn, it is thereby dismissed.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Accordingly I cannot say that s. 208 is relevant to this case. What is disturbing is that in this case the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represented by counsel and the orders made by the court were made upon counsel’s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I am not in any way exonerating the trial court, presided over by a lay magistrate, from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making illegal orders but it defeats me that counsel in this case should have failed to see any difference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acquittal, discharge and dismissal. I regret to say that his part in this case was to misguide the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instead of guiding it in the administration of justice.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orders for costs and compensation made by the trial magistrate are set aside and it is directed that</w:t>
      </w:r>
      <w:r w:rsidR="005671DC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if any costs or compensation has been paid the same shall be refunded.</w:t>
      </w:r>
    </w:p>
    <w:p w:rsidR="00E603CF" w:rsidRDefault="00E603CF" w:rsidP="00E60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E43AAB" w:rsidRDefault="00E603CF" w:rsidP="00E603CF">
      <w:r>
        <w:rPr>
          <w:rFonts w:ascii="Times New Roman" w:hAnsi="Times New Roman" w:cs="Times New Roman"/>
          <w:color w:val="000000"/>
        </w:rPr>
        <w:t>No appearance for the parties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F"/>
    <w:rsid w:val="005671DC"/>
    <w:rsid w:val="00E43AAB"/>
    <w:rsid w:val="00E6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CF693-D27D-4263-B1B1-31D3F2F3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2018-07-06T13:05:00Z</dcterms:created>
  <dcterms:modified xsi:type="dcterms:W3CDTF">2018-07-11T09:57:00Z</dcterms:modified>
</cp:coreProperties>
</file>