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2CB" w:rsidRDefault="006322CB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Uganda v Okot</w:t>
      </w:r>
    </w:p>
    <w:p w:rsidR="006322CB" w:rsidRDefault="006322CB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6322CB" w:rsidRDefault="006322CB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July 1973</w:t>
      </w:r>
    </w:p>
    <w:p w:rsidR="006322CB" w:rsidRDefault="006322CB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83/1973 (127/73)</w:t>
      </w:r>
    </w:p>
    <w:p w:rsidR="006322CB" w:rsidRDefault="006322CB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Saied J</w:t>
      </w:r>
    </w:p>
    <w:p w:rsidR="006322CB" w:rsidRDefault="006322CB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6322CB" w:rsidRDefault="006322CB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Adjournment – Discretion of magistrate – Whether refusal to</w:t>
      </w:r>
    </w:p>
    <w:p w:rsidR="006322CB" w:rsidRDefault="006322CB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adjourn proper.</w:t>
      </w:r>
    </w:p>
    <w:p w:rsidR="006322CB" w:rsidRDefault="006322CB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No evidence offered by prosecutor – Dismissal of charge the</w:t>
      </w:r>
    </w:p>
    <w:p w:rsidR="006322CB" w:rsidRDefault="006322CB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proper procedure – Magistrates’ Courts Act, s. </w:t>
      </w:r>
      <w:r>
        <w:rPr>
          <w:rFonts w:ascii="Times New Roman" w:hAnsi="Times New Roman" w:cs="Times New Roman"/>
          <w:color w:val="000000"/>
        </w:rPr>
        <w:t>121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EB2DDC" w:rsidRDefault="00EB2DDC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6322CB" w:rsidRDefault="00EB2DDC" w:rsidP="00EB2D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Saied J: </w:t>
      </w:r>
      <w:r>
        <w:rPr>
          <w:rFonts w:ascii="Times New Roman" w:hAnsi="Times New Roman" w:cs="Times New Roman"/>
          <w:color w:val="000000"/>
        </w:rPr>
        <w:t>This is an appeal with leave of court by the Director of Public Prosecutions from the acquittal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respondent by a magistrate under the provisions of s. 125 of the Magistrates’ Courts Act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 upon being told by the police prosecutor that he was “not offering any evidence” as his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 were not present after the prosecutor’s earlier application for adjournment had been refused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he had been asked by the trial magistrate to proceed with the case.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leading to this acquittal may briefly be stated. The respondent (who was the first accused)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another man Andrew A. Ocheng (the second accused) were jointly charged in one count with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stealing by persons employed in the public service contrary to ss. 257 and 252 of the Penal Code. They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appeared in court on 28 September 1971 and pleaded not guilty. They were released on bail. Both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attended court on three subsequent occasions on mention days, and on 31 January 1972 the hearing was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down for 15 March 1972. On that day the respondent was present with his defence counsel, but the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accused was absent. A warrant for his arrest was issued and the hearing adjourned till 12 April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1972. Now, the prosecutor informed the court that he “understood” that the second accused was a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“mental case” and was detained “here”. He applied for adjournment on the ground that none of his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witnesses, who had been “warned in court”, had appeared for unknown reasons. One of those witnesses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coming from Kabale and another from Kampala. He described his application as being “for the sake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justice”. The </w:t>
      </w:r>
      <w:r w:rsidR="00EB2DDC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pplication was strongly opposed by the respondent’s counsel on the ground that as those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 had been warned to attend on the hearing day, their absence indicated that they were “not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interested in the case”. He argued further that the defence was being put to great expense and the accused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suspended from duty since the commencement of the proceedings.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refusing the application the trial magistrate said,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prosecution had sufficient time to ensure that their witnesses turn up today. There has been no reason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advanced to me by the prosecutor for his application for an adjournment. In view of the fact that the defence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counsel opposes the application and in view of the fact that the case has been pending for almost eight months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nothing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done to have the case heard coupled with the fact that the accused is on suspension, I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refuse the application by the prosecutor for an adjournment and order that he proceeds with the hearing of the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 as arranged by calling his witnesses to testify under s. 118 of M.C.A.”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record of the proceedings thereafter reads: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Pros</w:t>
      </w:r>
      <w:r>
        <w:rPr>
          <w:rFonts w:ascii="Times New Roman" w:hAnsi="Times New Roman" w:cs="Times New Roman"/>
          <w:color w:val="000000"/>
          <w:sz w:val="20"/>
          <w:szCs w:val="20"/>
        </w:rPr>
        <w:t>.: I am not offering any evidence as my witnesses are not here.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Mpungu</w:t>
      </w:r>
      <w:r>
        <w:rPr>
          <w:rFonts w:ascii="Times New Roman" w:hAnsi="Times New Roman" w:cs="Times New Roman"/>
          <w:color w:val="000000"/>
          <w:sz w:val="20"/>
          <w:szCs w:val="20"/>
        </w:rPr>
        <w:t>: I apply that the relevant order under s. 125 of M.C.A. be made as this is tantamount to there being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evidence against the accused.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Court</w:t>
      </w:r>
      <w:r>
        <w:rPr>
          <w:rFonts w:ascii="Times New Roman" w:hAnsi="Times New Roman" w:cs="Times New Roman"/>
          <w:color w:val="000000"/>
          <w:sz w:val="20"/>
          <w:szCs w:val="20"/>
        </w:rPr>
        <w:t>: I n view of the fact that no case has been made out against the accused as a result of no evidence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having been offered against him, I acquit him as prayed under s. 125 of M.C.A.”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only ground of appeal is that the trial magistrate erred in law in acquitting the respondent under s.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125 of the Magistrates’ Courts Act 1970, when no evidence had been called by the prosecution owing to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absence of the prosecution witnesses and whose absence was no fault of the prosecution.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Mr. Tsekooko, a Senior State Attorney, submitted that the trial magistrate’s dismissal of the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adjournment application was an improper exercise of his proper judicial discretion. Reyling on the case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</w:rPr>
        <w:t>R. v. Ratilal Ganji</w:t>
      </w:r>
      <w:r>
        <w:rPr>
          <w:rFonts w:ascii="Times New Roman" w:hAnsi="Times New Roman" w:cs="Times New Roman"/>
          <w:color w:val="000000"/>
        </w:rPr>
        <w:t>, 6 U.L.R. 237</w:t>
      </w:r>
      <w:r w:rsidR="008852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cited in </w:t>
      </w:r>
      <w:r>
        <w:rPr>
          <w:rFonts w:ascii="Times New Roman" w:hAnsi="Times New Roman" w:cs="Times New Roman"/>
          <w:i/>
          <w:iCs/>
          <w:color w:val="000000"/>
        </w:rPr>
        <w:t>Uganda v. Milenge</w:t>
      </w:r>
      <w:r>
        <w:rPr>
          <w:rFonts w:ascii="Times New Roman" w:hAnsi="Times New Roman" w:cs="Times New Roman"/>
          <w:color w:val="000000"/>
        </w:rPr>
        <w:t>, [1970] E.A. 269, he argued that he should have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exercised his discretion in</w:t>
      </w:r>
      <w:r w:rsidR="008852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granting the adjournment which was being sought, or dismissing the charge under the provisions of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117 of the Magistrates’ Courts Act. He said that the acquittal in these circumstances occasioned a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miscarriage of justice.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respondent, Mr. Gaffa submitted that as the trial magistrate could not speculate on the reasons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absence of the prosecution witnesses, no good reason had been shown in favour of an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adjournment. He maintained that the magistrate exercised his discretion properly and judicially. Relying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</w:t>
      </w:r>
      <w:r>
        <w:rPr>
          <w:rFonts w:ascii="Times New Roman" w:hAnsi="Times New Roman" w:cs="Times New Roman"/>
          <w:i/>
          <w:iCs/>
          <w:color w:val="000000"/>
        </w:rPr>
        <w:t xml:space="preserve">Milenge’s </w:t>
      </w:r>
      <w:r>
        <w:rPr>
          <w:rFonts w:ascii="Times New Roman" w:hAnsi="Times New Roman" w:cs="Times New Roman"/>
          <w:color w:val="000000"/>
        </w:rPr>
        <w:t>case he submitted that as the prosecutor had deliberately chosen not to offer any evidence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other course open to the court but to acquit the respondent.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I deal with the issues raised in this appeal I should like to mention the position of the second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accused. It was undisputed that as he had not appeared at the time of the proceedings when the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was acquitted, any order to be made on this appeal will not affect him. Specific provision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exists in the Magistrates’ Courts Act to deal with the suspected insanity of accused persons during a trial.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 trial magistrate was informed that the second accused was a “mental case” and was detained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“here”, he should have ordered his production and dealt with him according to the provisions of s. 111.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was an irregularity, but I do not think that it renders the proceedings against the respondent a nullity.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joint charge is several as well as joint. In </w:t>
      </w:r>
      <w:r>
        <w:rPr>
          <w:rFonts w:ascii="Times New Roman" w:hAnsi="Times New Roman" w:cs="Times New Roman"/>
          <w:i/>
          <w:iCs/>
          <w:color w:val="000000"/>
        </w:rPr>
        <w:t xml:space="preserve">D.P.P. v. Merriman </w:t>
      </w:r>
      <w:r>
        <w:rPr>
          <w:rFonts w:ascii="Times New Roman" w:hAnsi="Times New Roman" w:cs="Times New Roman"/>
          <w:color w:val="000000"/>
        </w:rPr>
        <w:t>(1972), 56 Cr. App. R. 766 the head-note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the speech of Lord Diplock states: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 joint charge against two or more defendants alleges against each defendant a separate offence committed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 same occasion and as part of the same transaction, the connection between the separate offences being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more than that, as against each defendant, not only his own physical acts, but also those of the other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defendant, may be relied on by the prosecution as an actus reus of the offence with which he is charged.”</w:t>
      </w:r>
    </w:p>
    <w:p w:rsidR="006322CB" w:rsidRPr="00EB2DDC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follows that upon an indictment charging two persons jointly with an offence, such as stealing in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dwelling house, either may be found guilty. Likewise, the absence of one of several persons who are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accused together does not affect the validity of the conviction of those who appear – </w:t>
      </w:r>
      <w:r>
        <w:rPr>
          <w:rFonts w:ascii="Times New Roman" w:hAnsi="Times New Roman" w:cs="Times New Roman"/>
          <w:i/>
          <w:iCs/>
          <w:color w:val="000000"/>
        </w:rPr>
        <w:t>Ex p. O’Brien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Dalton</w:t>
      </w:r>
      <w:r>
        <w:rPr>
          <w:rFonts w:ascii="Times New Roman" w:hAnsi="Times New Roman" w:cs="Times New Roman"/>
          <w:color w:val="000000"/>
        </w:rPr>
        <w:t>, 28 I.R. 36. The same, I am sure, must apply with equal force to an acquittal. The charge against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accused remains pending on the file. That accused must be produced before the court as soon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possible for an enquiry in accordance with s. 111, should he still be insane and incapable of making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defence, or otherwise for final disposal.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court has power for “sufficient cause” to adjourn the hearing – s. 120 of the Magistrates’ Courts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Act. The trial magistrate did not accept the reasons advanced for an adjournment as “sufficient cause”.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Those witnesses had been warned to attend court, although who warned them is not clear from the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record. I agree with the Senior State Attorney that it is not part of the duty of a prosecutor to physically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bring his witnesses into the court. Witnesses are summoned to attend or, having attended, are warned by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to attend on another date to which the hearing may have been adjourned. Some of them were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coming from distant places. It is not uncommon for such witnesses to travel on a previous day to the trial.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the prosecutor did not know the reason for their absence, the only fact of their non-attendance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having been warned cannot and does not amount to sufficient cause. It was submitted that the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prosecutor was perhaps inexperienced. I do not think this matters. If policemen are to prosecute they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know the provisions of the law before they enter the court. In all the circumstances, I am of the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that the trial magistrate</w:t>
      </w:r>
      <w:r w:rsidR="008852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exercised his discretion properly and judicially on the material which was before him.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question is whether he was right in applying s. 125 of the Magistrates’ Courts Act and to acquit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in the circumstances of this case. Mr. Tsekooko was of the opinion that he could have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invoked the provisions of s. 117 of the Act. I think that this submission is misconceived, for this section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deals with the absence of the prosecutor and not the witnesses. The prosecutor was present before the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court. That section clearly has no application, </w:t>
      </w:r>
      <w:r>
        <w:rPr>
          <w:rFonts w:ascii="Times New Roman" w:hAnsi="Times New Roman" w:cs="Times New Roman"/>
          <w:i/>
          <w:iCs/>
          <w:color w:val="000000"/>
        </w:rPr>
        <w:t>Eric Baingana v. Uganda</w:t>
      </w:r>
      <w:r>
        <w:rPr>
          <w:rFonts w:ascii="Times New Roman" w:hAnsi="Times New Roman" w:cs="Times New Roman"/>
          <w:color w:val="000000"/>
        </w:rPr>
        <w:t>, Misc. Cr. App. (1971), M.B. 68.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Milenge’s </w:t>
      </w:r>
      <w:r>
        <w:rPr>
          <w:rFonts w:ascii="Times New Roman" w:hAnsi="Times New Roman" w:cs="Times New Roman"/>
          <w:color w:val="000000"/>
        </w:rPr>
        <w:t xml:space="preserve">case distinguished the facts from the case of </w:t>
      </w:r>
      <w:r>
        <w:rPr>
          <w:rFonts w:ascii="Times New Roman" w:hAnsi="Times New Roman" w:cs="Times New Roman"/>
          <w:i/>
          <w:iCs/>
          <w:color w:val="000000"/>
        </w:rPr>
        <w:t>Ratilal Ganji</w:t>
      </w:r>
      <w:r>
        <w:rPr>
          <w:rFonts w:ascii="Times New Roman" w:hAnsi="Times New Roman" w:cs="Times New Roman"/>
          <w:color w:val="000000"/>
        </w:rPr>
        <w:t>. There the accused was charged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reckless driving. The case was fixed for hearing and on the hearing day an Inspector of Police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for the prosecution. The main prosecution. The main prosecution witness, although warned to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attend, failed to appear in time at the trial and the magistrate after calling upon the prosecution to prove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case which they could not do, proceeded to acquit the accused. The two judges on appeal held that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lastRenderedPageBreak/>
        <w:t>magistrate’s proper course was either to have adjourned the case or to have dismissed the charge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provisions of s. 197 of the then Criminal Procedure Code. S. 197 is similar to s. 117 of the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Magistrates’ Courts Act, except that, as already stated, the word “prosecutor” has been substituted for the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 “complainant”. The judges, after referring to s. 197 which mentioned the absence of the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complainant, continued to say: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seems to us that the position is substantially the same where the magistrate has before him merely a public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prosecutor, whose function is simply to conduct the case and to examine the persons who are the true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informants. If the latter are absent, and yet it is known that they are in existence and that their attendance can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secured, it seems to us little short of farcical to embark on a trial of the case and to acquit the accused, the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complaint against him being wholly unheard.”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Milenge’s </w:t>
      </w:r>
      <w:r>
        <w:rPr>
          <w:rFonts w:ascii="Times New Roman" w:hAnsi="Times New Roman" w:cs="Times New Roman"/>
          <w:color w:val="000000"/>
        </w:rPr>
        <w:t>case the State Attorney refused to call his witnesses who were present, and offered no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evidence. Here, like </w:t>
      </w:r>
      <w:r>
        <w:rPr>
          <w:rFonts w:ascii="Times New Roman" w:hAnsi="Times New Roman" w:cs="Times New Roman"/>
          <w:i/>
          <w:iCs/>
          <w:color w:val="000000"/>
        </w:rPr>
        <w:t xml:space="preserve">Ratilal Ganji’s </w:t>
      </w:r>
      <w:r>
        <w:rPr>
          <w:rFonts w:ascii="Times New Roman" w:hAnsi="Times New Roman" w:cs="Times New Roman"/>
          <w:color w:val="000000"/>
        </w:rPr>
        <w:t>case, the witnesses were not present and an application for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adjournment had been refused. The prosecutor had been called upon to lead evidence. Quite obviously 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do so as none of his witnesses was present. He was pushed into a tight corner and obviously did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know what to do. He did the obvious and told the trial magistrate that he could not call evidence in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absence of his witnesses. It seems to me that the trial magistrate was swayed more by the submissions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by defence counsel rather than being guided by the law. He overlooked the existence of s. 121 of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which deals with non-appearance of parties after adjournment, and states that if the complainant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not appear the court may dismiss the charge with or without costs as the court shall think fit. I can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 no better than to recite from the judgment in </w:t>
      </w:r>
      <w:r>
        <w:rPr>
          <w:rFonts w:ascii="Times New Roman" w:hAnsi="Times New Roman" w:cs="Times New Roman"/>
          <w:i/>
          <w:iCs/>
          <w:color w:val="000000"/>
        </w:rPr>
        <w:t xml:space="preserve">Ratilal Ganji’s </w:t>
      </w:r>
      <w:r>
        <w:rPr>
          <w:rFonts w:ascii="Times New Roman" w:hAnsi="Times New Roman" w:cs="Times New Roman"/>
          <w:color w:val="000000"/>
        </w:rPr>
        <w:t>case which, with respect, states the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position lucidly: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“If the learned magistrate had rightly assessed his powers and duty we think that he would have refused to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 to what the respondent asks me to regard as a trial, and would have dismissed the charge unheard and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discharged the accused. What was done was done owing to a misconception by the learned magistrate of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powers and duty. We think that we cannot permit the present position to stand because of that</w:t>
      </w:r>
      <w:r w:rsidR="00EB2D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misconception . . .”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respectfully agree with this comment, and am of the opinion that the acquittal of the respondent in these</w:t>
      </w:r>
      <w:r w:rsidR="008852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circumstances was wrong in law. As in </w:t>
      </w:r>
      <w:r>
        <w:rPr>
          <w:rFonts w:ascii="Times New Roman" w:hAnsi="Times New Roman" w:cs="Times New Roman"/>
          <w:i/>
          <w:iCs/>
          <w:color w:val="000000"/>
        </w:rPr>
        <w:t xml:space="preserve">Ratilal Ganji’s </w:t>
      </w:r>
      <w:r>
        <w:rPr>
          <w:rFonts w:ascii="Times New Roman" w:hAnsi="Times New Roman" w:cs="Times New Roman"/>
          <w:color w:val="000000"/>
        </w:rPr>
        <w:t>case, I hold that as the acquittal should not have</w:t>
      </w:r>
      <w:r w:rsidR="008852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occurred I think it right to set aside that acquittal and to substitute therefore the order which should</w:t>
      </w:r>
      <w:r w:rsidR="008852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made at an earlier stage in the case, that is, an order dismissing the charge with the consequent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 of the accused. I do so order and further direct that the file be remitted to the trial magistrate to</w:t>
      </w:r>
      <w:r w:rsidR="00EB2DDC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consider the issue of the costs under the provisions of s. 121 of the Magistrate’s Courts Act.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Tsekooko </w:t>
      </w:r>
      <w:r>
        <w:rPr>
          <w:rFonts w:ascii="Times New Roman" w:hAnsi="Times New Roman" w:cs="Times New Roman"/>
          <w:color w:val="000000"/>
        </w:rPr>
        <w:t>(Senior State Counsel)</w:t>
      </w:r>
    </w:p>
    <w:p w:rsidR="006322CB" w:rsidRDefault="006322CB" w:rsidP="00632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6322CB" w:rsidP="006322CB">
      <w:r>
        <w:rPr>
          <w:rFonts w:ascii="Times New Roman" w:hAnsi="Times New Roman" w:cs="Times New Roman"/>
          <w:i/>
          <w:iCs/>
          <w:color w:val="000000"/>
        </w:rPr>
        <w:t xml:space="preserve">FR Gaffa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Kirenga and Gaffa</w:t>
      </w:r>
      <w:r>
        <w:rPr>
          <w:rFonts w:ascii="Times New Roman" w:hAnsi="Times New Roman" w:cs="Times New Roman"/>
          <w:color w:val="000000"/>
        </w:rPr>
        <w:t>, Kampala)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CB"/>
    <w:rsid w:val="006322CB"/>
    <w:rsid w:val="00664035"/>
    <w:rsid w:val="00885232"/>
    <w:rsid w:val="00EB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2882A-6DE9-4C3F-937B-5D191F81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2018-07-05T12:43:00Z</dcterms:created>
  <dcterms:modified xsi:type="dcterms:W3CDTF">2018-07-11T07:31:00Z</dcterms:modified>
</cp:coreProperties>
</file>