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Unibilt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Kenya Ltd (Under Receivership)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Sons Ltd</w:t>
      </w:r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June 2004</w:t>
      </w:r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219/01</w:t>
      </w:r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Azangalala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81FCF" w:rsidRDefault="00781FCF" w:rsidP="007E4B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81FCF" w:rsidRDefault="007E4B29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81FCF">
        <w:rPr>
          <w:rFonts w:ascii="Times New Roman" w:hAnsi="Times New Roman" w:cs="Times New Roman"/>
          <w:i/>
          <w:iCs/>
          <w:color w:val="000000"/>
        </w:rPr>
        <w:t>[1] Contract – Lien – Election – Whether by filing suit party loses right of lien – Whether doctrine of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81FCF">
        <w:rPr>
          <w:rFonts w:ascii="Times New Roman" w:hAnsi="Times New Roman" w:cs="Times New Roman"/>
          <w:i/>
          <w:iCs/>
          <w:color w:val="000000"/>
        </w:rPr>
        <w:t>election applicable under the circumstances.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the defendant seeking an order compelling the defendant to deliver to the plaintiff 31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pallets of tin plates, damages, interest on damages and costs. The defendant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counterclaim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a declaration that it had a lien over the said pallets and further sought an order compelling the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to pay the defendant’s charges in default the defendant be at liberty to sell the said pallets to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 its charges.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agreed on issues for determination as follows: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Whether the defendant was put on election between suing the plaintiff for charges </w:t>
      </w: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retaining the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cargo in exercise of its lien.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(ii) Whether by instituting High Court civil case number 689 of 1998 the defendant had lost its right of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lien.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 xml:space="preserve">The defendant was not put on election between suing the plaintiff for charges </w:t>
      </w: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retaining the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cargo in exercise of its lien because the filing of the High Court Suit was consistent with the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lien on the cargo. By instituting the High Court Case the defendant in the present case did</w:t>
      </w:r>
      <w:r w:rsidR="007E4B2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not lose its right of lien over the plaintiff’s cargo. Suit dismissed, counterclaim allowed with costs.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Brewer v Sparrow </w:t>
      </w:r>
      <w:r>
        <w:rPr>
          <w:rFonts w:ascii="Times New Roman" w:hAnsi="Times New Roman" w:cs="Times New Roman"/>
          <w:color w:val="000000"/>
        </w:rPr>
        <w:t xml:space="preserve">1827 7B and C 310 (1824-34) All ER 525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781FCF" w:rsidRDefault="00781FCF" w:rsidP="00781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British Tea Table Company [1897] Ltd v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company </w:t>
      </w:r>
      <w:r>
        <w:rPr>
          <w:rFonts w:ascii="Times New Roman" w:hAnsi="Times New Roman" w:cs="Times New Roman"/>
          <w:color w:val="000000"/>
        </w:rPr>
        <w:t xml:space="preserve">[1910] 101 LTP 707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1070D" w:rsidRDefault="00781FCF" w:rsidP="00781FCF">
      <w:r>
        <w:rPr>
          <w:rFonts w:ascii="Times New Roman" w:hAnsi="Times New Roman" w:cs="Times New Roman"/>
          <w:i/>
          <w:iCs/>
          <w:color w:val="000000"/>
        </w:rPr>
        <w:t xml:space="preserve">George Barker (Transport)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Eynon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[1974] 1 All ER 900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CF"/>
    <w:rsid w:val="0021070D"/>
    <w:rsid w:val="00781FCF"/>
    <w:rsid w:val="007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55549-FABB-4B24-A324-289B460D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2018-07-04T13:15:00Z</dcterms:created>
  <dcterms:modified xsi:type="dcterms:W3CDTF">2018-07-11T07:22:00Z</dcterms:modified>
</cp:coreProperties>
</file>