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Unibilt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Kenya Ltd (Under Receivership)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Mukhi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Sons Ltd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June 2004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219/01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Azangalala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75BD2" w:rsidRDefault="00E72953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75BD2">
        <w:rPr>
          <w:rFonts w:ascii="Times New Roman" w:hAnsi="Times New Roman" w:cs="Times New Roman"/>
          <w:i/>
          <w:iCs/>
          <w:color w:val="000000"/>
        </w:rPr>
        <w:t>[1] Contract – Lien – Election – Whether by filing suit party loses right of lien – Whether doctrine of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election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applicable under the circumstances.</w:t>
      </w:r>
    </w:p>
    <w:p w:rsidR="00F75BD2" w:rsidRDefault="00E72953" w:rsidP="00E729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AZANGALALA AJ: </w:t>
      </w:r>
      <w:r>
        <w:rPr>
          <w:rFonts w:ascii="Times New Roman" w:hAnsi="Times New Roman" w:cs="Times New Roman"/>
          <w:color w:val="000000"/>
        </w:rPr>
        <w:t>By a plaint dated 16 February 2001, the plaintiff sued the defendant seeking an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compelling the defendant to deliver to the plaintiff 31 pallets of tinplate, damages, interest on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and costs. On 20 March 2001 the defendant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set up a counterclaim seeking a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 that it was entitled to a lien on the said pallets and further sought an order compelling the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to pay the defendant’s charges in default, the defendant be at liberty to sell the said pallets to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 its charges.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agreed facts are as follows: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E7295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defendant rendered to the plaintiff clearing an forwarding services during the period 1997 and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July 1998.</w:t>
      </w:r>
    </w:p>
    <w:p w:rsidR="00F75BD2" w:rsidRDefault="00E72953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A</w:t>
      </w:r>
      <w:r w:rsidR="00F75BD2">
        <w:rPr>
          <w:rFonts w:ascii="Times New Roman" w:hAnsi="Times New Roman" w:cs="Times New Roman"/>
          <w:color w:val="000000"/>
          <w:sz w:val="20"/>
          <w:szCs w:val="20"/>
        </w:rPr>
        <w:t xml:space="preserve">s at 31 July 1998 the plaintiff was indebted to the defendant in the sum of </w:t>
      </w:r>
      <w:proofErr w:type="spellStart"/>
      <w:r w:rsidR="00F75BD2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="00F75BD2">
        <w:rPr>
          <w:rFonts w:ascii="Times New Roman" w:hAnsi="Times New Roman" w:cs="Times New Roman"/>
          <w:color w:val="000000"/>
          <w:sz w:val="20"/>
          <w:szCs w:val="20"/>
        </w:rPr>
        <w:t xml:space="preserve"> 3 573 193-10.</w:t>
      </w:r>
    </w:p>
    <w:p w:rsidR="00F75BD2" w:rsidRDefault="00E72953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U</w:t>
      </w:r>
      <w:r w:rsidR="00F75BD2">
        <w:rPr>
          <w:rFonts w:ascii="Times New Roman" w:hAnsi="Times New Roman" w:cs="Times New Roman"/>
          <w:color w:val="000000"/>
          <w:sz w:val="20"/>
          <w:szCs w:val="20"/>
        </w:rPr>
        <w:t>nder an agreement between the plaintiff and the defendant for the provision of the clearing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75BD2">
        <w:rPr>
          <w:rFonts w:ascii="Times New Roman" w:hAnsi="Times New Roman" w:cs="Times New Roman"/>
          <w:color w:val="000000"/>
          <w:sz w:val="20"/>
          <w:szCs w:val="20"/>
        </w:rPr>
        <w:t>forwarding service it was expressly agreed that the defendant “shall have a general as well as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75BD2">
        <w:rPr>
          <w:rFonts w:ascii="Times New Roman" w:hAnsi="Times New Roman" w:cs="Times New Roman"/>
          <w:color w:val="000000"/>
          <w:sz w:val="20"/>
          <w:szCs w:val="20"/>
        </w:rPr>
        <w:t>particular lien on all goods for unpaid account”.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On 9 November 1998 the defendant instituted High Court civil case number 689 of 1998 against the</w:t>
      </w:r>
      <w:r w:rsidR="00E729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plaintiff to recover the said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3 573 193-10.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A t the time of institution of High Court civil case number 689 of 1998 the defendant was holding</w:t>
      </w:r>
      <w:r w:rsidR="00E729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pursuant to its contractual right of lien the plaintiff’s cargo namely pallets of tinplate at its warehouse</w:t>
      </w:r>
      <w:r w:rsidR="00E729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pending payment/settlement of its outstanding account.</w:t>
      </w:r>
    </w:p>
    <w:p w:rsidR="00F75BD2" w:rsidRDefault="00E72953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6. O</w:t>
      </w:r>
      <w:r w:rsidR="00F75BD2">
        <w:rPr>
          <w:rFonts w:ascii="Times New Roman" w:hAnsi="Times New Roman" w:cs="Times New Roman"/>
          <w:color w:val="000000"/>
          <w:sz w:val="20"/>
          <w:szCs w:val="20"/>
        </w:rPr>
        <w:t>n 6 March 2000 the High Court of Kenya at Nairobi in High Court civil case number 689 of 1998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75BD2">
        <w:rPr>
          <w:rFonts w:ascii="Times New Roman" w:hAnsi="Times New Roman" w:cs="Times New Roman"/>
          <w:color w:val="000000"/>
          <w:sz w:val="20"/>
          <w:szCs w:val="20"/>
        </w:rPr>
        <w:t xml:space="preserve">decreed that the plaintiff do pay to the defendant the sum of </w:t>
      </w:r>
      <w:proofErr w:type="spellStart"/>
      <w:r w:rsidR="00F75BD2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="00F75BD2">
        <w:rPr>
          <w:rFonts w:ascii="Times New Roman" w:hAnsi="Times New Roman" w:cs="Times New Roman"/>
          <w:color w:val="000000"/>
          <w:sz w:val="20"/>
          <w:szCs w:val="20"/>
        </w:rPr>
        <w:t xml:space="preserve"> 3 573 193-10, interest and costs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75BD2">
        <w:rPr>
          <w:rFonts w:ascii="Times New Roman" w:hAnsi="Times New Roman" w:cs="Times New Roman"/>
          <w:color w:val="000000"/>
          <w:sz w:val="20"/>
          <w:szCs w:val="20"/>
        </w:rPr>
        <w:t>which decree remains unsatisfied to date.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7. On 16 March 2000 Kenya Commercial Bank Ltd by a deed of appointment dated 16 March 2000</w:t>
      </w:r>
      <w:r w:rsidR="00E729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appointed joint receivers and managers in respect of the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laintiff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in the name of the plaintiff</w:t>
      </w:r>
      <w:r w:rsidR="00E729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instituted this suit seeking to recover the goods held by the defendant.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Based on the foregoing agreed facts the parties further agreed that the issues for determination are as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follows</w:t>
      </w:r>
      <w:proofErr w:type="gramEnd"/>
      <w:r>
        <w:rPr>
          <w:rFonts w:ascii="Times New Roman" w:hAnsi="Times New Roman" w:cs="Times New Roman"/>
          <w:color w:val="000000"/>
        </w:rPr>
        <w:t>: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W the defendant in the present suit was put on election between suing the plaintiff for charges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 w:rsidR="00E729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retaining the plaintiff’s cargo in the exercise of its right of lien.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hether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instituting High Court civil case number 689 of 1998 the defendant in this suit lost its right</w:t>
      </w:r>
      <w:r w:rsidR="00E729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lien.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further agreed that if the findings of the Court on the above issues is in the negative the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suit should be dismissed with costs and the defendant’s counterclaim should be allowed with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and if on the other hand the finding of the Court on the above issues is positive then the plaintiff’s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should be allowed and the defendant’s counterclaim dismissed with costs.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filed an agreement in the above terms pursuant to the provisions of Order XIV, rule 6 of</w:t>
      </w:r>
    </w:p>
    <w:p w:rsidR="00F75BD2" w:rsidRDefault="00E72953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F75BD2">
        <w:rPr>
          <w:rFonts w:ascii="Times New Roman" w:hAnsi="Times New Roman" w:cs="Times New Roman"/>
          <w:color w:val="000000"/>
        </w:rPr>
        <w:t xml:space="preserve">Civil Procedure Rules. The matter came before me on 14 May 2004. </w:t>
      </w:r>
      <w:proofErr w:type="spellStart"/>
      <w:r w:rsidR="00F75BD2">
        <w:rPr>
          <w:rFonts w:ascii="Times New Roman" w:hAnsi="Times New Roman" w:cs="Times New Roman"/>
          <w:color w:val="000000"/>
        </w:rPr>
        <w:t>Mr</w:t>
      </w:r>
      <w:proofErr w:type="spellEnd"/>
      <w:r w:rsidR="00F75B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75BD2">
        <w:rPr>
          <w:rFonts w:ascii="Times New Roman" w:hAnsi="Times New Roman" w:cs="Times New Roman"/>
          <w:i/>
          <w:iCs/>
          <w:color w:val="000000"/>
        </w:rPr>
        <w:t>Arua</w:t>
      </w:r>
      <w:proofErr w:type="spellEnd"/>
      <w:r w:rsidR="00F75BD2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75BD2">
        <w:rPr>
          <w:rFonts w:ascii="Times New Roman" w:hAnsi="Times New Roman" w:cs="Times New Roman"/>
          <w:color w:val="000000"/>
        </w:rPr>
        <w:t>was instructed by the</w:t>
      </w:r>
      <w:r>
        <w:rPr>
          <w:rFonts w:ascii="Times New Roman" w:hAnsi="Times New Roman" w:cs="Times New Roman"/>
          <w:color w:val="000000"/>
        </w:rPr>
        <w:t xml:space="preserve"> </w:t>
      </w:r>
      <w:r w:rsidR="00F75BD2">
        <w:rPr>
          <w:rFonts w:ascii="Times New Roman" w:hAnsi="Times New Roman" w:cs="Times New Roman"/>
          <w:color w:val="000000"/>
        </w:rPr>
        <w:t xml:space="preserve">plaintiff and </w:t>
      </w:r>
      <w:proofErr w:type="spellStart"/>
      <w:r w:rsidR="00F75BD2">
        <w:rPr>
          <w:rFonts w:ascii="Times New Roman" w:hAnsi="Times New Roman" w:cs="Times New Roman"/>
          <w:color w:val="000000"/>
        </w:rPr>
        <w:t>Mr</w:t>
      </w:r>
      <w:proofErr w:type="spellEnd"/>
      <w:r w:rsidR="00F75B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75BD2">
        <w:rPr>
          <w:rFonts w:ascii="Times New Roman" w:hAnsi="Times New Roman" w:cs="Times New Roman"/>
          <w:i/>
          <w:iCs/>
          <w:color w:val="000000"/>
        </w:rPr>
        <w:t>Kairu</w:t>
      </w:r>
      <w:proofErr w:type="spellEnd"/>
      <w:r w:rsidR="00F75BD2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75BD2">
        <w:rPr>
          <w:rFonts w:ascii="Times New Roman" w:hAnsi="Times New Roman" w:cs="Times New Roman"/>
          <w:color w:val="000000"/>
        </w:rPr>
        <w:t>appeared for the defendant. In addition to written submissions filed, counsel made</w:t>
      </w:r>
      <w:r>
        <w:rPr>
          <w:rFonts w:ascii="Times New Roman" w:hAnsi="Times New Roman" w:cs="Times New Roman"/>
          <w:color w:val="000000"/>
        </w:rPr>
        <w:t xml:space="preserve"> </w:t>
      </w:r>
      <w:r w:rsidR="00F75BD2">
        <w:rPr>
          <w:rFonts w:ascii="Times New Roman" w:hAnsi="Times New Roman" w:cs="Times New Roman"/>
          <w:color w:val="000000"/>
        </w:rPr>
        <w:t>oral submissions in court and highlighted what was in the written submissions.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defendant submitted that the defendant has a lien on the plaintiff’s cargo and the filing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High Court civil case number 689 of 1998 did not take away that right. In his view a lien merely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confers a passive right of retention. The filing of High Court civil case number 689 of 1998 and the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 decree did not substitute the defendant’s lien over the plaintiff’s cargo as the doctrine of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election is not </w:t>
      </w:r>
      <w:r>
        <w:rPr>
          <w:rFonts w:ascii="Times New Roman" w:hAnsi="Times New Roman" w:cs="Times New Roman"/>
          <w:color w:val="000000"/>
        </w:rPr>
        <w:lastRenderedPageBreak/>
        <w:t xml:space="preserve">applicable. Counsel relied on </w:t>
      </w:r>
      <w:r>
        <w:rPr>
          <w:rFonts w:ascii="Times New Roman" w:hAnsi="Times New Roman" w:cs="Times New Roman"/>
          <w:i/>
          <w:iCs/>
          <w:color w:val="000000"/>
        </w:rPr>
        <w:t xml:space="preserve">Stroud’s Judicial Dictionary </w:t>
      </w:r>
      <w:r>
        <w:rPr>
          <w:rFonts w:ascii="Times New Roman" w:hAnsi="Times New Roman" w:cs="Times New Roman"/>
          <w:color w:val="000000"/>
        </w:rPr>
        <w:t>Volume 1 at 787 where the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author writers: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“Every case of election therefore presupposes a plurality of gifts or rights with an intention, expressed or</w:t>
      </w:r>
      <w:r w:rsidR="00C756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implied of the party who has a right to control one or both that one should be a substitute for the other. The</w:t>
      </w:r>
      <w:r w:rsidR="00C756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party who is to take has a choice but he cannot enjoy the benefit of both”.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further relied on the decision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George Barker (Transport)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Eynon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[1974] 1 All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ER 900 for the proposition that where a lien exists before the appointment of a receiver the contract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conferring the lien is binding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receiver. Counsel further relied on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Re British Tea Table Company [1897] Ltd v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company </w:t>
      </w:r>
      <w:r>
        <w:rPr>
          <w:rFonts w:ascii="Times New Roman" w:hAnsi="Times New Roman" w:cs="Times New Roman"/>
          <w:color w:val="000000"/>
        </w:rPr>
        <w:t>[1910] 101 LTP 707 for the same proposition that a lien survives the receivership. He prayed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plaintiff’s claim be dismissed and the judgment be entered for the defendant on the counterclaim.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plaintiff submitted that the doctrine of election applies in this case. The defendant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elected to sue for its charges and therefore lost the right of lien. Counsel cited five English authorities in</w:t>
      </w:r>
      <w:r w:rsidR="00E729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support of his submission, one of which was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Brewer v Sparrow </w:t>
      </w:r>
      <w:r>
        <w:rPr>
          <w:rFonts w:ascii="Times New Roman" w:hAnsi="Times New Roman" w:cs="Times New Roman"/>
          <w:color w:val="000000"/>
        </w:rPr>
        <w:t>1827 7B and C 310 (1824-34)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ER 525. In this case the defendant wrongfully sold goods of a bankrupt. The assignees of the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bankrupt received the accounts of the sale and accepted from the defendant the balance appearing due on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accounts. It was held that they had elected to ratify the sale and they could not afterwards sue the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for conversion. The other four English cases involved the same doctrine of election.</w:t>
      </w:r>
    </w:p>
    <w:p w:rsidR="00F75BD2" w:rsidRPr="00C7566E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further submitted that the defendant’s counterclaim is incompetent by reason of being </w:t>
      </w:r>
      <w:r>
        <w:rPr>
          <w:rFonts w:ascii="Times New Roman" w:hAnsi="Times New Roman" w:cs="Times New Roman"/>
          <w:i/>
          <w:iCs/>
          <w:color w:val="000000"/>
        </w:rPr>
        <w:t>res</w:t>
      </w:r>
      <w:r w:rsidR="00C756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judicata</w:t>
      </w:r>
      <w:r>
        <w:rPr>
          <w:rFonts w:ascii="Times New Roman" w:hAnsi="Times New Roman" w:cs="Times New Roman"/>
          <w:color w:val="000000"/>
        </w:rPr>
        <w:t xml:space="preserve">. In Nairobi High Court civil case number 689 of 1998 the defendant claimed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3 573 193-10</w:t>
      </w:r>
      <w:r w:rsidR="00C756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its clearing and forwarding charges. By its counterclaim in this suit it seeks to enforce its right of</w:t>
      </w:r>
      <w:r w:rsidR="00C756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lien. The counterclaim in counsel’s view should be struck out. The plea of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was however not</w:t>
      </w:r>
      <w:r w:rsidR="00C756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framed as an issue for my determination.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agreement between the plaintiff and the defendant for the provision of clearing and forwarding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services expressly provided that the defendants “shall have a general as well as a particular lien on all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goods for unpaid account.” A general lien and a particular lien are both categories of a legal lien.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 xml:space="preserve">(4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paragraph 502 at 221 describes the same as a right at common law in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man to retain that which is rightfully and continuously in his possession belonging to another until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present and accrued claims of the person in </w:t>
      </w:r>
      <w:proofErr w:type="spellStart"/>
      <w:r>
        <w:rPr>
          <w:rFonts w:ascii="Times New Roman" w:hAnsi="Times New Roman" w:cs="Times New Roman"/>
          <w:color w:val="000000"/>
        </w:rPr>
        <w:t>po.ssession</w:t>
      </w:r>
      <w:proofErr w:type="spellEnd"/>
      <w:r>
        <w:rPr>
          <w:rFonts w:ascii="Times New Roman" w:hAnsi="Times New Roman" w:cs="Times New Roman"/>
          <w:color w:val="000000"/>
        </w:rPr>
        <w:t xml:space="preserve"> are satisfied.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Paragraph 519 of the said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>states: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“A legal lien is a right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not a right of action and saving special cases does not give any right to</w:t>
      </w:r>
      <w:r w:rsidR="00C756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sell the thing retained”.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herein was not able to pay the defendant’s charges. The only way the defendant could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 its charges was therefore by way of a suit. The defendant did so by filing Nairobi High Court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case number 689 of 1998. In my view the defendant did not have much choice in the matter. The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filing of the said suit was not inconsistent with the defendant’s lien on the plaintiff’s cargo. Indeed in my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the filing of Nairobi High Court civil case number 689 of 1998 was consistent with the defendant’s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lien. The doctrine of election would apply if the filing of the said suit would substitute the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defendant’s lien on the plaintiff’s cargo or if the filing of the said suit would be inconsistent with the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defendant’s lien on the cargo. This in fact is the principle that runs through the cases relied upon by the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in this case. I have therefore no hesitation whatsoever in finding that the defendant in the present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suit was not put on election between suing the plaintiff for charges </w:t>
      </w: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 xml:space="preserve"> retaining the plaintiff’s cargo in the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its right of lien.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follows as day follows night that the answer to the second agreed issue must be in the negative. By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instituting High Court civil case number 689 of 1998 the defendant in the present case did not lose its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of lien on the plaintiff’s cargo.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submitted on the effect of the receivership of the plaintiff on the defendant’s right of lien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though the same was not framed as an issue for my determination. If I had been asked to make a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on the same, I would have held that the receivership of the plaintiff did not take away the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defendant’s lien over the plaintiff’s cargo. I have found support for this in paragraph 531 and 532 in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 xml:space="preserve">(4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volume 28 at 236 where it is stated: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lastRenderedPageBreak/>
        <w:t>531 effect of liquidation</w:t>
      </w:r>
      <w:r w:rsidR="00C7566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“where a general lien has been created by contract it is not defeated by the later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crystallisation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floating</w:t>
      </w:r>
      <w:r w:rsidR="00C756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charge which was in existence but not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crystallised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the time of creation of the lien”.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532 effect of receivership</w:t>
      </w:r>
      <w:r w:rsidR="00C7566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“where a lien exists before the appointment or where there is a contract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authorising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exercise of a general</w:t>
      </w:r>
      <w:r w:rsidR="00C756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lien in certain events such a contract is binding on the receiver even if the relevant events occur after the date</w:t>
      </w:r>
      <w:r w:rsidR="00D858A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his appointment”.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determined the agreed issues in the negative I order that the plaintiff’s suit be and is hereby</w:t>
      </w:r>
      <w:r w:rsidR="00C7566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dismissed with costs and the defendant’s counterclaim be and is hereby allowed with costs.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Arua</w:t>
      </w:r>
      <w:proofErr w:type="spellEnd"/>
    </w:p>
    <w:p w:rsidR="00F75BD2" w:rsidRDefault="00F75BD2" w:rsidP="00F7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21070D" w:rsidRDefault="00F75BD2" w:rsidP="00F75BD2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Kairu</w:t>
      </w:r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D2"/>
    <w:rsid w:val="0021070D"/>
    <w:rsid w:val="00C7566E"/>
    <w:rsid w:val="00D858AC"/>
    <w:rsid w:val="00E72953"/>
    <w:rsid w:val="00F7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C9249-B68C-4F91-9364-C0F64478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2018-07-04T13:16:00Z</dcterms:created>
  <dcterms:modified xsi:type="dcterms:W3CDTF">2018-07-11T07:21:00Z</dcterms:modified>
</cp:coreProperties>
</file>