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Utegi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Technical Enterprises (T) Ltd and another v NBC Ltd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16 February 2004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137/02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Kalegeyaj</w:t>
      </w:r>
      <w:proofErr w:type="spellEnd"/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Affidavit – Falsity of contents – Wrong computation of interest and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understatement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purchase price – Whether falsity goes to the root of the application.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Decree – Execution – Decree more than 12 months – Notice to judgment debtor –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court may dispense with notice – Whether reasons for dispensing with notice to be recorded –</w:t>
      </w:r>
    </w:p>
    <w:p w:rsidR="00D332FC" w:rsidRDefault="00D332FC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21, rules 20 (1) and (2) Civil Procedure Rules (Tanzania).</w:t>
      </w:r>
    </w:p>
    <w:p w:rsidR="00D332FC" w:rsidRDefault="00613C85" w:rsidP="00613C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KALEGEYA J: </w:t>
      </w:r>
      <w:r>
        <w:rPr>
          <w:rFonts w:ascii="Times New Roman" w:hAnsi="Times New Roman" w:cs="Times New Roman"/>
          <w:color w:val="000000"/>
        </w:rPr>
        <w:t>The applicants’ chamber summons is for orders that: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be pleased to order stay of further execution of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decree dated 5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April 2002.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garnishee order issued by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as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Kalegeya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on 13 January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2004 be rescinded.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be pleased to review its Orders made on 13 January 2001 as per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Kalegeya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Costs be provided for.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Any other order and/or relief that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deem just and fit to grant”.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background to the matter is as follows: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6 March 2002 judgment was entered against the applicants/judgment debtors in the following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“Judgment is hereby entered in favour of the plaintiff as per the plaint save that the decretal sum shall attract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of 7% per annum from the date of judgment until settlement in full”.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decree holders/respondents had prayed for judgment and decree against the defendant jointly and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severally as follows: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An order of foreclosure or sale by the plaintiff of all that property known as plot number 161/2/1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occupying 2892 square meters currently registered in the name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Otieno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Olung’a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Igogo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Certified of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Title Number 46978 located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Kurasini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Service Trade Dar-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-Salaam.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Payment by the defendants jointly and severally of the outstanding amount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31 160 059 plus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amounts in (iii), (iv) and (v) herein below less the proceeds of sale as prayed in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above.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(iii) Interest on the decretal sum in (ii) at a rate of 28% as covenanted by the plaintiff and the first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defendant from April 1, 2001 to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Judgment.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(iv) Interest on the decretal sum at a statutory rate of 12% from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Judgment to the payment of the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last sent.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v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Costs.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(vi) 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relief’s that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deem just to grant.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Treading on failure by the applicants/Judgment debtors to satisfy the decree, the respondent/decree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holders instead of resorting to court for execution, decided to exercise powers provided under clause 9(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Mortgage Deed. The said clause provided as under: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“At any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after the principal moneys and interest hereby secured become payable either as a result of lawful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demand being made by the bank under the provisions of clause 8 hereof the bank shall be there upon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immediately concurrence on the part of the mortgagor to exercise all statutory powers conferred on mortgages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Conveyancing and Law of Property Act of 1881 including the power to appoint a receiver and power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sale but without the restrictions imposed by section 20 of the said Act and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provided that </w:t>
      </w:r>
      <w:r>
        <w:rPr>
          <w:rFonts w:ascii="Times New Roman" w:hAnsi="Times New Roman" w:cs="Times New Roman"/>
          <w:color w:val="000000"/>
          <w:sz w:val="20"/>
          <w:szCs w:val="20"/>
        </w:rPr>
        <w:t>the right of sale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shall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effect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bank to foreclosures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and provided further </w:t>
      </w:r>
      <w:r>
        <w:rPr>
          <w:rFonts w:ascii="Times New Roman" w:hAnsi="Times New Roman" w:cs="Times New Roman"/>
          <w:color w:val="000000"/>
          <w:sz w:val="20"/>
          <w:szCs w:val="20"/>
        </w:rPr>
        <w:t>that any receiver appointed here under after the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statutory application of all monies received by him apply the balance in or towards discharge of the principal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moneys hereby secured before paying any residue to the person who constitute this mortgage an instrument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Chattels Transfer Ordinance (Chapter 210)”.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applicants proceeded and through one </w:t>
      </w:r>
      <w:proofErr w:type="spellStart"/>
      <w:r>
        <w:rPr>
          <w:rFonts w:ascii="Times New Roman" w:hAnsi="Times New Roman" w:cs="Times New Roman"/>
          <w:color w:val="000000"/>
        </w:rPr>
        <w:t>Sadock</w:t>
      </w:r>
      <w:proofErr w:type="spellEnd"/>
      <w:r>
        <w:rPr>
          <w:rFonts w:ascii="Times New Roman" w:hAnsi="Times New Roman" w:cs="Times New Roman"/>
          <w:color w:val="000000"/>
        </w:rPr>
        <w:t xml:space="preserve"> D </w:t>
      </w:r>
      <w:proofErr w:type="spellStart"/>
      <w:r>
        <w:rPr>
          <w:rFonts w:ascii="Times New Roman" w:hAnsi="Times New Roman" w:cs="Times New Roman"/>
          <w:color w:val="000000"/>
        </w:rPr>
        <w:t>Magai</w:t>
      </w:r>
      <w:proofErr w:type="spellEnd"/>
      <w:r>
        <w:rPr>
          <w:rFonts w:ascii="Times New Roman" w:hAnsi="Times New Roman" w:cs="Times New Roman"/>
          <w:color w:val="000000"/>
        </w:rPr>
        <w:t xml:space="preserve">, appointed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Comrade Auction Mart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Court Brokers to auction the mortgaged property on plot number 161/2/1, CT number 46978,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Kurasini</w:t>
      </w:r>
      <w:proofErr w:type="spellEnd"/>
      <w:r>
        <w:rPr>
          <w:rFonts w:ascii="Times New Roman" w:hAnsi="Times New Roman" w:cs="Times New Roman"/>
          <w:color w:val="000000"/>
        </w:rPr>
        <w:t xml:space="preserve"> Area,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in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name of the second applicant who was the guarantor. The property was accordingly auctioned and a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total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22.5 million was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7 January 2004 the respondent/decree holder applied for execution of a decree for the balance of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21 055 439 out of the indicated sum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31 160 059. Unfortunately however, the application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errors in that the computation of interest for the period from 6 March 2002 to 29 December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2003 (that is the period after Judgment) was made at the rate of 12% instead of 7% as decreased by the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Court, and also the amount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500 000 from the sale of the property was excluded as only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22 million was indicated.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the application, the mode in which the Court’s assistance was required was by: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“Attachment of the first Judgment debtor’s account (garnishee order) number 240-790031 at Kenya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Commercial Bank Limited”.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While the application was filed on 7 January 2004, on 8 January 2004 the respondent’s advocate wrote a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to the Registrar, Commercial court, whose contents are as follows: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“We wish to bring to your kind attention that we have currently applied for execution of the decree with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regard to the captioned case. We intend to attach the account of the first judgment debtor in proceeding with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operation of its account, we pray that the order be issued earlier as in the long run the decree holder may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nothing to attach. A copy of the application for execution duly filed in court is herewith attached for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your ease of reference.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thank you in advance for your cooperation and we count on 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>your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prompt action”.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13 January 2004 the Court issued the following order: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“Pursuant to the decree holder’s application for execution filed with the Court, garnishee order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nisi </w:t>
      </w:r>
      <w:r>
        <w:rPr>
          <w:rFonts w:ascii="Times New Roman" w:hAnsi="Times New Roman" w:cs="Times New Roman"/>
          <w:color w:val="000000"/>
          <w:sz w:val="20"/>
          <w:szCs w:val="20"/>
        </w:rPr>
        <w:t>to issue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Judgment debtor’s account number 240-790021 with the Kenya Commercial Bank Limited. The order</w:t>
      </w:r>
      <w:r w:rsidR="00613C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is limited to a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21 055 439-93”.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above prompted the present application.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supported by an affidavit of the second applicant while it is resisted with a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counter-affidavit of </w:t>
      </w:r>
      <w:proofErr w:type="spellStart"/>
      <w:r>
        <w:rPr>
          <w:rFonts w:ascii="Times New Roman" w:hAnsi="Times New Roman" w:cs="Times New Roman"/>
          <w:color w:val="000000"/>
        </w:rPr>
        <w:t>Sadock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Dotto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Magai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Rutashoborwa</w:t>
      </w:r>
      <w:proofErr w:type="spellEnd"/>
      <w:r>
        <w:rPr>
          <w:rFonts w:ascii="Times New Roman" w:hAnsi="Times New Roman" w:cs="Times New Roman"/>
          <w:color w:val="000000"/>
        </w:rPr>
        <w:t>, advocate, for the applicants, urge that the decree sought to be executed 12 months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its issuance without notice is contrary to the law (Order XX1, rule 20 CPC); that the interest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computation was wrong as it should have been at the rate of 7% instead of 12%; that </w:t>
      </w:r>
      <w:proofErr w:type="spellStart"/>
      <w:r>
        <w:rPr>
          <w:rFonts w:ascii="Times New Roman" w:hAnsi="Times New Roman" w:cs="Times New Roman"/>
          <w:color w:val="000000"/>
        </w:rPr>
        <w:t>Magai’s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harbours</w:t>
      </w:r>
      <w:proofErr w:type="spellEnd"/>
      <w:r>
        <w:rPr>
          <w:rFonts w:ascii="Times New Roman" w:hAnsi="Times New Roman" w:cs="Times New Roman"/>
          <w:color w:val="000000"/>
        </w:rPr>
        <w:t xml:space="preserve"> false elements including stating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22 Million instead of 22.5 being the property sale price,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alleging that he got information of the price from </w:t>
      </w:r>
      <w:proofErr w:type="spellStart"/>
      <w:r>
        <w:rPr>
          <w:rFonts w:ascii="Times New Roman" w:hAnsi="Times New Roman" w:cs="Times New Roman"/>
          <w:color w:val="000000"/>
        </w:rPr>
        <w:t>Messrs</w:t>
      </w:r>
      <w:proofErr w:type="spellEnd"/>
      <w:r>
        <w:rPr>
          <w:rFonts w:ascii="Times New Roman" w:hAnsi="Times New Roman" w:cs="Times New Roman"/>
          <w:color w:val="000000"/>
        </w:rPr>
        <w:t xml:space="preserve"> Comrade Auction Mart and </w:t>
      </w:r>
      <w:proofErr w:type="spellStart"/>
      <w:r>
        <w:rPr>
          <w:rFonts w:ascii="Times New Roman" w:hAnsi="Times New Roman" w:cs="Times New Roman"/>
          <w:color w:val="000000"/>
        </w:rPr>
        <w:t>Kiiza</w:t>
      </w:r>
      <w:proofErr w:type="spellEnd"/>
      <w:r>
        <w:rPr>
          <w:rFonts w:ascii="Times New Roman" w:hAnsi="Times New Roman" w:cs="Times New Roman"/>
          <w:color w:val="000000"/>
        </w:rPr>
        <w:t xml:space="preserve"> of NBC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his firm was the one which issued the receipts, making reference to </w:t>
      </w:r>
      <w:r>
        <w:rPr>
          <w:rFonts w:ascii="Times New Roman" w:hAnsi="Times New Roman" w:cs="Times New Roman"/>
          <w:i/>
          <w:iCs/>
          <w:color w:val="000000"/>
        </w:rPr>
        <w:t>Ignazio Messina v Willow</w:t>
      </w:r>
      <w:r w:rsidR="00613C8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Investment SPRL </w:t>
      </w:r>
      <w:r>
        <w:rPr>
          <w:rFonts w:ascii="Times New Roman" w:hAnsi="Times New Roman" w:cs="Times New Roman"/>
          <w:color w:val="000000"/>
        </w:rPr>
        <w:t>civil application number 21 of 2001 and that the respondent was not entitled at law to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 powers of sale without recourse to court, which act resulted in selling the property worth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250 million at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22.5 million. The counsel concludes that all the above enumerated errors/defects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 the garnishee </w:t>
      </w:r>
      <w:r>
        <w:rPr>
          <w:rFonts w:ascii="Times New Roman" w:hAnsi="Times New Roman" w:cs="Times New Roman"/>
          <w:i/>
          <w:iCs/>
          <w:color w:val="000000"/>
        </w:rPr>
        <w:t xml:space="preserve">nisi </w:t>
      </w:r>
      <w:r>
        <w:rPr>
          <w:rFonts w:ascii="Times New Roman" w:hAnsi="Times New Roman" w:cs="Times New Roman"/>
          <w:color w:val="000000"/>
        </w:rPr>
        <w:t>untenable and should be rescinded and/or discharged.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other hand,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Kabakama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 for the respondents, conceded that no notice was issued in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of Order XX1, rule 20(1) Civil Procedure Code but argues that this is cured under rule 20(2)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Court can dispense with this, which was the case here (on the strength of respondent’s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letter); conceded the wrong use of 12% rate instead 7% adding that the amount due it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2 319 929-97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instead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3 768154 thus reducing the amount demanded and payable to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19 607 214-97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instead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21 055 439-93 reflected on the application for execution form and prays for adjustment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accordingly; that the auction was properly conducted leading to the sale of the property to one Cecilia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Cornel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22.5 million on 13 April 2004; that the garnishee order is against the first applicant as a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obligor; that the prayer for stay of execution is misconceived as Order XX1, rule 24(1) CPC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upon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presupposes pendency of appeal of intention to appeal or an application for stay in the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appropriate court which is not the case here, and that even if that were the case, it would be hopelessly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barred, and lastly, that the prayer for review suffers same infirmity because: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“Under Order XLII sufficient reasons have to be advanced and should be filed within 60 days.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the order sought to be reviewed is dated 21 January 2001, a date prior to even the filing of the suit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28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May 2001”.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Starting with the quarrel levelled on failure to issue the requisite notice in terms of Order 21, rule 20(1)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Code, I am satisfied that indeed, as rightly argued by the respondent, rule (2)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thereof cures the abnormality. The Court can dispense with the notice. I concede that the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requires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r>
        <w:rPr>
          <w:rFonts w:ascii="Times New Roman" w:hAnsi="Times New Roman" w:cs="Times New Roman"/>
          <w:color w:val="000000"/>
        </w:rPr>
        <w:lastRenderedPageBreak/>
        <w:t>reasons for departing from rule (1) should be recorded. In this case, the reasons were not recorded as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but the Court acted on the respondent’s letter which stipulated that a further delay may lead to the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depletion of an otherwise liquid account. The letter is on record.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regards computation of the interest rate, this error is rectifiable as sufficiently corrected by the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It does not go to the root of the order.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alleged falsity of </w:t>
      </w:r>
      <w:proofErr w:type="spellStart"/>
      <w:r>
        <w:rPr>
          <w:rFonts w:ascii="Times New Roman" w:hAnsi="Times New Roman" w:cs="Times New Roman"/>
          <w:color w:val="000000"/>
        </w:rPr>
        <w:t>Magai’s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affidavit, while I agree that there is an understatement of the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purchase price by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500 000 the other attack is not justified. Receipts may as well be of the same firm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that does not remove the possibility that </w:t>
      </w:r>
      <w:proofErr w:type="spellStart"/>
      <w:r>
        <w:rPr>
          <w:rFonts w:ascii="Times New Roman" w:hAnsi="Times New Roman" w:cs="Times New Roman"/>
          <w:color w:val="000000"/>
        </w:rPr>
        <w:t>Magai</w:t>
      </w:r>
      <w:proofErr w:type="spellEnd"/>
      <w:r>
        <w:rPr>
          <w:rFonts w:ascii="Times New Roman" w:hAnsi="Times New Roman" w:cs="Times New Roman"/>
          <w:color w:val="000000"/>
        </w:rPr>
        <w:t xml:space="preserve"> himself got the information from the auctioneer and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Kiiza</w:t>
      </w:r>
      <w:proofErr w:type="spellEnd"/>
      <w:r>
        <w:rPr>
          <w:rFonts w:ascii="Times New Roman" w:hAnsi="Times New Roman" w:cs="Times New Roman"/>
          <w:color w:val="000000"/>
        </w:rPr>
        <w:t xml:space="preserve"> of NBC, the people who were possibly present when the sale took place. There is no evidence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Magai</w:t>
      </w:r>
      <w:proofErr w:type="spellEnd"/>
      <w:r>
        <w:rPr>
          <w:rFonts w:ascii="Times New Roman" w:hAnsi="Times New Roman" w:cs="Times New Roman"/>
          <w:color w:val="000000"/>
        </w:rPr>
        <w:t xml:space="preserve"> was present when the receipts were being made and issued. In any case, these were issued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obviously after someone stated the figure. Thus, even if </w:t>
      </w:r>
      <w:proofErr w:type="spellStart"/>
      <w:r>
        <w:rPr>
          <w:rFonts w:ascii="Times New Roman" w:hAnsi="Times New Roman" w:cs="Times New Roman"/>
          <w:color w:val="000000"/>
        </w:rPr>
        <w:t>Magai</w:t>
      </w:r>
      <w:proofErr w:type="spellEnd"/>
      <w:r>
        <w:rPr>
          <w:rFonts w:ascii="Times New Roman" w:hAnsi="Times New Roman" w:cs="Times New Roman"/>
          <w:color w:val="000000"/>
        </w:rPr>
        <w:t xml:space="preserve"> was present when that person was stating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them, in the affidavit he could not give the source of the figure as being the receipt but the maker of the</w:t>
      </w:r>
      <w:r w:rsidR="00613C8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statement, and that person could be the auctioneer or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Kiiza</w:t>
      </w:r>
      <w:proofErr w:type="spellEnd"/>
      <w:r>
        <w:rPr>
          <w:rFonts w:ascii="Times New Roman" w:hAnsi="Times New Roman" w:cs="Times New Roman"/>
          <w:color w:val="000000"/>
        </w:rPr>
        <w:t xml:space="preserve"> or both.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applicants’ counsel relied on the following paragraph from </w:t>
      </w:r>
      <w:r>
        <w:rPr>
          <w:rFonts w:ascii="Times New Roman" w:hAnsi="Times New Roman" w:cs="Times New Roman"/>
          <w:i/>
          <w:iCs/>
          <w:color w:val="000000"/>
        </w:rPr>
        <w:t xml:space="preserve">Ignazio </w:t>
      </w:r>
      <w:r>
        <w:rPr>
          <w:rFonts w:ascii="Times New Roman" w:hAnsi="Times New Roman" w:cs="Times New Roman"/>
          <w:color w:val="000000"/>
        </w:rPr>
        <w:t>case: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 affidavit which is tainted with untruths is no affidavit at all and cannot be relied upon to support an</w:t>
      </w:r>
      <w:r w:rsidR="007E5A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application. False evidence cannot be acted upon to resolve any issue. The falsehood in this case goes to the</w:t>
      </w:r>
      <w:r w:rsidR="007E5A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root of the application”.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With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Rutashoborwa</w:t>
      </w:r>
      <w:proofErr w:type="spellEnd"/>
      <w:r>
        <w:rPr>
          <w:rFonts w:ascii="Times New Roman" w:hAnsi="Times New Roman" w:cs="Times New Roman"/>
          <w:color w:val="000000"/>
        </w:rPr>
        <w:t>, the present affidavit from the one referred to in that case. The only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falsity,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500 000 less than the sale price, does not go to the root of the application.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about the argument that the respondents were not justified in proceeding to execute the way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did: outside court process. I am on all fours with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 on this. The decree of this Court based on the order for judgment dated 6 March 2002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in turn was pegged on the prayer’s paragraph as quoted, did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them to use the mode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employed. That said however, that error does not affect the application for execution lodged with this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In any case, what is before us is not a challenge of the erroneous execution modus used in selling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property. If they have a quarrel with that, they are at liberty to mount an action thereof.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whole, none of the attacks levelled can legally justify issuance of the orders sought. With this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finding, I find it unnecessary to discuss the respondent’s arguments on the priority or otherwise of the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prayers for stay and review along the lines projected.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stands dismissed with a qualification, however that the sum which should be</w:t>
      </w:r>
      <w:r w:rsidR="007E5A3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garnished is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19 607 214-97 instead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21 055 439-93. Respondents are awarded costs.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Rutashoborwa</w:t>
      </w:r>
      <w:proofErr w:type="spellEnd"/>
    </w:p>
    <w:p w:rsidR="00D332FC" w:rsidRDefault="00D332FC" w:rsidP="00D33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21070D" w:rsidRDefault="00D332FC" w:rsidP="00D332FC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Kabakama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FC"/>
    <w:rsid w:val="0021070D"/>
    <w:rsid w:val="00613C85"/>
    <w:rsid w:val="007E5A39"/>
    <w:rsid w:val="00D3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6E99-50C6-4631-B4F9-BFD270E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2018-07-04T13:18:00Z</dcterms:created>
  <dcterms:modified xsi:type="dcterms:W3CDTF">2018-07-11T07:17:00Z</dcterms:modified>
</cp:coreProperties>
</file>