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9B" w:rsidRDefault="0017219B" w:rsidP="006A5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Uunet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Kenya Limited v Telkom Kenya Limited and another</w:t>
      </w:r>
    </w:p>
    <w:p w:rsidR="0017219B" w:rsidRDefault="0017219B" w:rsidP="006A5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17219B" w:rsidRDefault="0017219B" w:rsidP="006A5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21 January 2004</w:t>
      </w:r>
    </w:p>
    <w:p w:rsidR="0017219B" w:rsidRDefault="0017219B" w:rsidP="006A5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811/03</w:t>
      </w:r>
    </w:p>
    <w:p w:rsidR="0017219B" w:rsidRDefault="0017219B" w:rsidP="006A5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Njagi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17219B" w:rsidRDefault="0017219B" w:rsidP="006A5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7219B" w:rsidRDefault="0017219B" w:rsidP="006A5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bookmarkEnd w:id="0"/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Arbitration – Injunction –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– Party applying for injunction under Arbitration Act and</w:t>
      </w:r>
      <w:r w:rsidR="0010594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obtaining orders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– Whether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injunction may be granted under Arbitration Act – Section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7 – Arbitration Act – Rules 2 and 11 – Arbitration Rules.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Civil procedure – Injunction – Interim injunction granted –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without court recording reasons</w:t>
      </w:r>
      <w:r w:rsidR="0010594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for finding application urgent – Effect of failure to record reasons – Whether failure renders orders</w:t>
      </w:r>
      <w:r w:rsidR="0010594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obtained null and of no effect – Order XXXIX rule 3(1) – Civil Procedure Rules.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Civil procedure – Preliminary objection – Preliminary objection to be canvassed on pure points of</w:t>
      </w:r>
      <w:r w:rsidR="0010594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law.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made an application to court seeking temporary injunction to restrain the Defendants from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transferring or using certain EI circuit lines pending hearing of the application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a temporary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to restrain the Defendants from using the said EI circuit lines pending arbitration and a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mandatory injunction compelling the First Defendant to re-transfer the said EI circuit lines to the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Plaintiff.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matter was heard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 the first instance whereupon a temporary injunction was given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the hearing of the application. The Court did not record its reasons for certifying the matter as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urgent to warrant issue of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order.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the matter came up for hearing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color w:val="000000"/>
        </w:rPr>
        <w:t>, the two Defendants raised preliminary objections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application. It was their contention that the Plaintiff had no proprietary interests in the EI circuit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lines and therefore the orders sought could not be granted; that a judge must record reasons for allowing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to be made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and since no reasons were recorded in this case, this was a breach of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XXXIX and vitiated any orders made thereby; and that under rules 2 and 11 of the Arbitration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Rules a judge had no jurisdiction to issue an order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The First Defendant contended that the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before the Court was principally between the Plaintiff and Second Defendant and thus the First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had wrongfully been made a party and adverse orders made against it.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Plaintiff’s reply was that under 7(1) of the Arbitration Act a measure of interim protection could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granted and that the section did not say that such a measure ought to be sought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color w:val="000000"/>
        </w:rPr>
        <w:t>; and that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though the dispute was principally between the Plaintiff and Second Defendant, the First Defendant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provider of all lines and the only party who could effect a transfer of the line hence was a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party to the suit. The Plaintiff also argued that the many points raised by the Defendants were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 demurrer as they could be canvassed in the main application.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Unless the rules of procedure expressly provided for an application to be heard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, all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applications should be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the not the other way round. It would be contrary to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policy and natural justice if any litigant were to be entitled to obtain any orders at will, and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without giving prior notice to those that they </w:t>
      </w:r>
      <w:proofErr w:type="spellStart"/>
      <w:r>
        <w:rPr>
          <w:rFonts w:ascii="Times New Roman" w:hAnsi="Times New Roman" w:cs="Times New Roman"/>
          <w:color w:val="000000"/>
        </w:rPr>
        <w:t>maybe</w:t>
      </w:r>
      <w:proofErr w:type="spellEnd"/>
      <w:r>
        <w:rPr>
          <w:rFonts w:ascii="Times New Roman" w:hAnsi="Times New Roman" w:cs="Times New Roman"/>
          <w:color w:val="000000"/>
        </w:rPr>
        <w:t xml:space="preserve"> adversely affected by such orders (</w:t>
      </w:r>
      <w:r>
        <w:rPr>
          <w:rFonts w:ascii="Times New Roman" w:hAnsi="Times New Roman" w:cs="Times New Roman"/>
          <w:i/>
          <w:iCs/>
          <w:color w:val="000000"/>
        </w:rPr>
        <w:t>Uhuru Highway</w:t>
      </w:r>
      <w:r w:rsidR="0010594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Development Limited v Central Bank of Kenya </w:t>
      </w:r>
      <w:r>
        <w:rPr>
          <w:rFonts w:ascii="Times New Roman" w:hAnsi="Times New Roman" w:cs="Times New Roman"/>
          <w:color w:val="000000"/>
        </w:rPr>
        <w:t>[1995] LLR 2177 (CAK) followed).</w:t>
      </w:r>
    </w:p>
    <w:p w:rsidR="0017219B" w:rsidRPr="00105941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absence of an express provision to the contrary, the Court lacked jurisdiction to grant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10594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under section 7 of the Arbitration Act.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Under Order XXXIX, rule 3(1) of the Civil Procedure Rules, before the Court can proceed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to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 an application for an injunction, it is a condition precedent that not only should it be satisfied that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delay would defeat the object of granting the injunction, but is should also record the reasons for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so satisfied. Failure to comply with these conditions vitiates any orders so obtained and renders the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same of no effect (</w:t>
      </w:r>
      <w:r>
        <w:rPr>
          <w:rFonts w:ascii="Times New Roman" w:hAnsi="Times New Roman" w:cs="Times New Roman"/>
          <w:i/>
          <w:iCs/>
          <w:color w:val="000000"/>
        </w:rPr>
        <w:t>Omega Enterprises (Kenya) Limited v Kenya Tourist Development Corporation and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</w:t>
      </w:r>
      <w:r>
        <w:rPr>
          <w:rFonts w:ascii="Times New Roman" w:hAnsi="Times New Roman" w:cs="Times New Roman"/>
          <w:color w:val="000000"/>
        </w:rPr>
        <w:t>[1993] LLR 2525 (CAK) applied).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Grounds relating to damages in lieu of an injunction, proprietary interest in the lines and transfer of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lines advanced under the cloak of preliminary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did not properly constitute grounds of preliminary objection as they did not constitute a pure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 of law which if successfully taken would have the effect of disposing the suit or application entirely</w:t>
      </w:r>
      <w:r w:rsidR="001059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Garden Square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[2002] LLR 1695 (CCK);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Mukisa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Biscuit Manufacturing</w:t>
      </w:r>
      <w:r w:rsidR="0010594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Limited v West End Distributors Limited </w:t>
      </w:r>
      <w:r>
        <w:rPr>
          <w:rFonts w:ascii="Times New Roman" w:hAnsi="Times New Roman" w:cs="Times New Roman"/>
          <w:color w:val="000000"/>
        </w:rPr>
        <w:t>[1969] EA 696 followed).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Interim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orders discharged. Application to be canvassed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Garden Square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[2002] LLR 1695 (CCK)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Makokha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Sagini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[1994] LLR 339 (CAK)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Mukisa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Biscuit Manufacturing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v West End Distributors Limited </w:t>
      </w:r>
      <w:r>
        <w:rPr>
          <w:rFonts w:ascii="Times New Roman" w:hAnsi="Times New Roman" w:cs="Times New Roman"/>
          <w:color w:val="000000"/>
        </w:rPr>
        <w:t xml:space="preserve">[1969] EA 696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Omega Enterprises (Kenya) Limited v Kenya Tourist Development Corporation and others </w:t>
      </w:r>
      <w:r>
        <w:rPr>
          <w:rFonts w:ascii="Times New Roman" w:hAnsi="Times New Roman" w:cs="Times New Roman"/>
          <w:color w:val="000000"/>
        </w:rPr>
        <w:t>[1993] LLR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2525 (CAK)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17219B" w:rsidRDefault="0017219B" w:rsidP="00172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Shanzu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Villa Limited v Guardian Bank Limited and another </w:t>
      </w:r>
      <w:r>
        <w:rPr>
          <w:rFonts w:ascii="Times New Roman" w:hAnsi="Times New Roman" w:cs="Times New Roman"/>
          <w:color w:val="000000"/>
        </w:rPr>
        <w:t>civil case number 642 of 2003</w:t>
      </w:r>
    </w:p>
    <w:p w:rsidR="00575C55" w:rsidRDefault="0017219B" w:rsidP="0017219B">
      <w:r>
        <w:rPr>
          <w:rFonts w:ascii="Times New Roman" w:hAnsi="Times New Roman" w:cs="Times New Roman"/>
          <w:i/>
          <w:iCs/>
          <w:color w:val="000000"/>
        </w:rPr>
        <w:t xml:space="preserve">Uhuru Highway Development Limited v Central Bank of Kenya </w:t>
      </w:r>
      <w:r>
        <w:rPr>
          <w:rFonts w:ascii="Times New Roman" w:hAnsi="Times New Roman" w:cs="Times New Roman"/>
          <w:color w:val="000000"/>
        </w:rPr>
        <w:t xml:space="preserve">[1995] LLR 2177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9B"/>
    <w:rsid w:val="000D0B7F"/>
    <w:rsid w:val="00105941"/>
    <w:rsid w:val="0017219B"/>
    <w:rsid w:val="00575C55"/>
    <w:rsid w:val="006A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66937-EEB9-41A7-ACC8-E26D1AF1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2018-07-04T18:32:00Z</dcterms:created>
  <dcterms:modified xsi:type="dcterms:W3CDTF">2018-07-11T07:18:00Z</dcterms:modified>
</cp:coreProperties>
</file>