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Uunet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Kenya Limited v Telkom Kenya Limited and another</w:t>
      </w:r>
    </w:p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21 January 2004</w:t>
      </w:r>
    </w:p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811/03</w:t>
      </w:r>
    </w:p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Njagi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A4557" w:rsidRDefault="00CA4557" w:rsidP="002028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Arbitration – Injunction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– Party applying for injunction under Arbitration Act and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obtaining orders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– Whether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injunction may be granted under Arbitration Act – Section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7 – Arbitration Act – Rules 2 and 11 – Arbitration Rules.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Injunction – Interim injunction granted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without court recording reasons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for finding application urgent – Effect of failure to record reasons – Whether failure renders orders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obtained null and of no effect – Order XXXIX rule 3(1) – Civil Procedure Rules.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Civil procedure – Preliminary objection – Preliminary objection to be canvassed on pure points of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law.</w:t>
      </w:r>
    </w:p>
    <w:p w:rsidR="00CA4557" w:rsidRDefault="00BA6159" w:rsidP="00BA61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Njagi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application before the Court is dated 17 December 2003. It was filed in court on the same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 and is brought by chamber summons under sections 3 and 3A of the Civil Procedure Act; Order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XXXIX rules 1, 2, 3, 7 and 9 of the Civil Procedure Rules, section 7 of the Arbitration Act, 1995, rules 2,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 and 11 of the Arbitration Rules, 1997 and all enabling provisions of the law.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substantive orders which the application seeks are that this Court be pleased to issue an order of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temporary injunction restraining the Defendants by themselves, their employees, agents, servants or in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manner howsoever from transferring, applying and/or in any way using the EI circuit lines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number 69055 pending the hearing and determination of this application.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Secondly, the application seeks an order that this Court be pleased to issue an order of temporary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restraining the Defendants by themselves, their employees, agents, servants or in any other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howsoever from transferring, applying and/or in any way using the EI circuit lines number 69055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arbitration.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Thirdly, the application further seeks an order of temporary injunction compelling the First Defendant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re-transfer the EI circuit lines under number 69055 back to the Plaintiff pending arbitration.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seeks that the costs thereof be provided for.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is based on the grounds that a dispute has arisen as regards the termination of a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network agreement between the Plaintiff and the Second Defendant and the dispute must be referred to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arbitration, and that the Second Respondent has threatened to interfere in the Applicant’s business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transfer of circuit lines from the Plaintiff to a third party competitor using the First Defendant.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also contends that unless the orders sought are granted, there is real danger that the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Respondents will hinder the operations of the Applicant as a consequence whereof the Applicant will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suffer irreparable loss and damage. Furthermore, the Respondent might use the period between service of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application and the hearing thereof to interfere in the Applicant’s business and thereby render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outcome of this application nugatory.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also states that the First Defendant has illegally purported to transfer the subject lines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Plaintiff’s competitor in breach of the Plaintiff’s agreement with the Second Defendant, and that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Defendant has no justifiable authority to transfer the subject lines from the Plaintiff to a third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 contrary to the Plaintiff’s agreement with the Second Defendant.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the Applicant says that the subject lines were transferred on instructions of the Second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whereas the lines were owned by the Plaintiff. The First Defendant, the Applicant says, has a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monopoly in the provision of the subject lines and the Applicant stands to suffer irreparable loss which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cannot be remedied in monetary terms. In the circumstances, the Applicant has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chances of success and the balance of convenience is in favour of the Applicant. The application is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supported by the annexed affidavit of Henry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>, the Plaintiff’s managing director.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When this matter came before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Lady Justice </w:t>
      </w:r>
      <w:proofErr w:type="spellStart"/>
      <w:r>
        <w:rPr>
          <w:rFonts w:ascii="Times New Roman" w:hAnsi="Times New Roman" w:cs="Times New Roman"/>
          <w:color w:val="000000"/>
        </w:rPr>
        <w:t>Kasongo</w:t>
      </w:r>
      <w:proofErr w:type="spellEnd"/>
      <w:r>
        <w:rPr>
          <w:rFonts w:ascii="Times New Roman" w:hAnsi="Times New Roman" w:cs="Times New Roman"/>
          <w:color w:val="000000"/>
        </w:rPr>
        <w:t xml:space="preserve"> under a certificate of urgency on 17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December 2003, the Learned Judge certified the application as urgent and granted the Plaintiff/Applicant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1 and 2 of the chamber summons dated 17 December 2003, and ordered the application to be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22 December 2003. Before the application could be heard on the appointed day,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First Defendant and Second Defendant filed notices of preliminary objection.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its notice of preliminary objections dated and filed in court on 22 December 2003, the First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 states that it is not privy to the Network Service Agreement dated 29 August 2002 stated to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entered between the Plaintiff and the Second Defendant, and is further a stranger to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dealings between the Plaintiff and the Second Defendant with regard thereto.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Secondly, the First Defendant objects on the ground that the application is misconceived, mischievous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an abuse of the process of the court, and thirdly on the ground that the Plaintiff has no proprietary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or interest in the E1 circuit lines under number 69055. It is also the First Defendant’s position that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emergency in the application and the Plaintiff deliberately misinformed the court on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propriety of prosecuting the application under a certificate of urgency and during the court vacation.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the First Defendant objects on the ground that the equitable remedies sought in the application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not available to the Plaintiff in the circumstances disclosed in the pleadings. The First Defendant will,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circumstances, apply that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obtained by the Plaintiff be discharged forthwith and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application be dismissed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limine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its part, the Second Defendant gave notice that is would raise objection on the grounds that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has not proprietary right or interest in EI circuit lines under number 69055; that there was no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real urgency and/or true impossibility to effect service that would justify issuance of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orders; that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were sought to advance a mischief; that no reasons were recorded to justify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hearing;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 orders sought cannot be issued in law.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Second Defendant would therefore apply that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be discharged and the chamber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summons be dismissed </w:t>
      </w:r>
      <w:r>
        <w:rPr>
          <w:rFonts w:ascii="Times New Roman" w:hAnsi="Times New Roman" w:cs="Times New Roman"/>
          <w:i/>
          <w:iCs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limine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noteworthy that some four grounds of preliminary objection are common to both notices. These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are: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The Plaintiff applicant has no proprietary right or interest in EI circuit lines under number 69055.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(b) There was no urgency in the Plaintiff’s applicant to warrant the issuance of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orders.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(c) The equitable remedies are sought to advance a mischief and therefore the application is</w:t>
      </w:r>
      <w:r w:rsidR="0020283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misconceived, mischievous and an abuse of process”.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Leading </w:t>
      </w:r>
      <w:proofErr w:type="spellStart"/>
      <w:r>
        <w:rPr>
          <w:rFonts w:ascii="Times New Roman" w:hAnsi="Times New Roman" w:cs="Times New Roman"/>
          <w:color w:val="000000"/>
        </w:rPr>
        <w:t>Ms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Njeri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Second Defendant and after giving a short background to the application before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Ngatia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referred to the filing of the suit and the summons dated 17 December 2003. At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of that application,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and made various submissions and the Judge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rendered a ruling. She thereupon certified the application as urgent without advancing reasons therefor.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Ngatia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referred to an earlier statement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effect that this application does not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 within the purview of the Civil Procedure Rules but the Arbitration Act and the Rules made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thereunder. He then said that the first issue is whether the court can issue an order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under the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Arbitration Act and Rules and immediately answered in the negative. Referring to rules 2 and 11 of these</w:t>
      </w:r>
    </w:p>
    <w:p w:rsidR="00CA4557" w:rsidRPr="00202833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Rules, he argued that none of them give a judge the power to issue an order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but that some rules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 the Civil Procedure Rules do give a judge such latitude. He submitted that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are an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exception to the rule, and that to make such orders a judge must have jurisdiction to do so. In the instant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the summons under rule 2 should have been served on the Defendant, and the order should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have been made </w:t>
      </w:r>
      <w:r>
        <w:rPr>
          <w:rFonts w:ascii="Times New Roman" w:hAnsi="Times New Roman" w:cs="Times New Roman"/>
          <w:i/>
          <w:iCs/>
          <w:color w:val="000000"/>
        </w:rPr>
        <w:t xml:space="preserve">ex parte. </w:t>
      </w:r>
      <w:r>
        <w:rPr>
          <w:rFonts w:ascii="Times New Roman" w:hAnsi="Times New Roman" w:cs="Times New Roman"/>
          <w:color w:val="000000"/>
        </w:rPr>
        <w:t xml:space="preserve">A judge is in such circumstances entitled to set aside orders granted in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 xml:space="preserve">proceedings. If there is no power under the Arbitration Act to make an order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then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must collapse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Ngatia</w:t>
      </w:r>
      <w:proofErr w:type="spellEnd"/>
      <w:r>
        <w:rPr>
          <w:rFonts w:ascii="Times New Roman" w:hAnsi="Times New Roman" w:cs="Times New Roman"/>
          <w:color w:val="000000"/>
        </w:rPr>
        <w:t xml:space="preserve"> argued further that the Plaintiff may have a </w:t>
      </w:r>
      <w:proofErr w:type="spellStart"/>
      <w:r>
        <w:rPr>
          <w:rFonts w:ascii="Times New Roman" w:hAnsi="Times New Roman" w:cs="Times New Roman"/>
          <w:color w:val="000000"/>
        </w:rPr>
        <w:t>fall-back</w:t>
      </w:r>
      <w:proofErr w:type="spellEnd"/>
      <w:r>
        <w:rPr>
          <w:rFonts w:ascii="Times New Roman" w:hAnsi="Times New Roman" w:cs="Times New Roman"/>
          <w:color w:val="000000"/>
        </w:rPr>
        <w:t xml:space="preserve"> position and say that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was made under Order XXXIX of the Civil Procedure Rules which empowers a judge to issue an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injunction. But the judge must first record reasons for allowing the application to be made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Ngatia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cited several authorities to demonstrate that where the court allows a party to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without recording reasons for doing so, this is breach of Order XXXIX and vitiates any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made thereby and any further proceedings on such an order will be a nullity.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Finally,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Ngatia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this Court has jurisdiction to hear and determine this matter and in doing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is not sitting on appeal from itself.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First Defendant argued that the Plaintiff’s claim is discoverable in several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aragraphs</w:t>
      </w:r>
      <w:proofErr w:type="spellEnd"/>
      <w:r>
        <w:rPr>
          <w:rFonts w:ascii="Times New Roman" w:hAnsi="Times New Roman" w:cs="Times New Roman"/>
          <w:color w:val="000000"/>
        </w:rPr>
        <w:t xml:space="preserve"> in the plaint and referred specifically to paragraphs 4, 6, 7, 8 and 10 which he said allege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breaches of an agreement with the Second Defendant. In the grounds in support of the application, it is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that the Second Defendant has threatened to interfere with the business of the Plaintiff while at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time it is alleged that there is a dispute between those two parties.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nowhere in the pleadings is it alleged that there is a dispute between the Plaintiff and the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First Defendant except in paragraph 9 of the plaint where it is alleged that the First Defendant acted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wrongly on the instructions of the Second Defendant who did not own the lines.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said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</w:t>
      </w:r>
      <w:r w:rsidR="00BA61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pleadings are supported by the grounds stated in paragraphs (e), (f ) and (g) of the chamber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 which suggest that the First Defendant acted on instructions of the Second Defendant in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effecting a transfer in breach of the agreement between the Plaintiff and the Second Defendant.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also submitted that in his submission before Justice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indicate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default the First Defendant had made to warrant an adverse o</w:t>
      </w:r>
      <w:r w:rsidR="00202833">
        <w:rPr>
          <w:rFonts w:ascii="Times New Roman" w:hAnsi="Times New Roman" w:cs="Times New Roman"/>
          <w:color w:val="000000"/>
        </w:rPr>
        <w:t xml:space="preserve">rder against it. Whereas all the </w:t>
      </w:r>
      <w:r>
        <w:rPr>
          <w:rFonts w:ascii="Times New Roman" w:hAnsi="Times New Roman" w:cs="Times New Roman"/>
          <w:color w:val="000000"/>
        </w:rPr>
        <w:t>documents refer to a dispute between the Plaintiff and the Second Defendant, there is none between it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First Defendant. Even though the application refers to EI circuit, the Plaintiff knows that this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circuit carries thousands of customers, and the Plaintiff knows only too well that thousands of the First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Defendant’s customers will be shut out, and yet the court has no jurisdiction to issue orders against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who are not in court, and even those in court who are not interested in the dispute. When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finally goes to arbitration, the First Defendant will not be able to go there as it is not a party to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agreement for reference of disputes to arbitration. Therefore the application is mischievous as far as it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relates to the First Defendant, and any relief against the First Defendant should not be available </w:t>
      </w:r>
      <w:r>
        <w:rPr>
          <w:rFonts w:ascii="Times New Roman" w:hAnsi="Times New Roman" w:cs="Times New Roman"/>
          <w:i/>
          <w:iCs/>
          <w:color w:val="000000"/>
        </w:rPr>
        <w:t>ex parte.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then referred to section 7 of the Arbitration Act which empowers the High Court to grant an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interim measure of protection and submitted that any orders under the Arbitration Act cannot be sought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given </w:t>
      </w:r>
      <w:r>
        <w:rPr>
          <w:rFonts w:ascii="Times New Roman" w:hAnsi="Times New Roman" w:cs="Times New Roman"/>
          <w:i/>
          <w:iCs/>
          <w:color w:val="000000"/>
        </w:rPr>
        <w:t xml:space="preserve">ex parte. </w:t>
      </w:r>
      <w:r>
        <w:rPr>
          <w:rFonts w:ascii="Times New Roman" w:hAnsi="Times New Roman" w:cs="Times New Roman"/>
          <w:color w:val="000000"/>
        </w:rPr>
        <w:t xml:space="preserve">Referring to the remedies sought,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that an injunction should not be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if the reward can only lie in an award for damages as in this case. Even if it is found that the First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is breaching the Plaintiff’s rights, in cases of breach of contract, damages are an appropriate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relief, and where damages are available, then equitable reliefs are not available. He referred the Court t</w:t>
      </w:r>
      <w:r w:rsidR="00202833">
        <w:rPr>
          <w:rFonts w:ascii="Times New Roman" w:hAnsi="Times New Roman" w:cs="Times New Roman"/>
          <w:color w:val="000000"/>
        </w:rPr>
        <w:t xml:space="preserve">o </w:t>
      </w:r>
      <w:r>
        <w:rPr>
          <w:rFonts w:ascii="Times New Roman" w:hAnsi="Times New Roman" w:cs="Times New Roman"/>
          <w:color w:val="000000"/>
        </w:rPr>
        <w:t xml:space="preserve">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Makokha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Sagini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[1994] LLR 339 (CAK). He also argued that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had no jurisdiction to order that the application herein be heard on 22 December 2003 as such an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was not supported by an application made by chamber summons. Therefore the order was a nullity.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concluded his submission by stating that the application was made with intent to abuse the process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Court, and therefore it should be struck out with costs.</w:t>
      </w:r>
    </w:p>
    <w:p w:rsidR="00CA4557" w:rsidRPr="00202833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response to these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Plaintiff/Applicant said that the Plaintiff came to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under section 7(1) of the Arbitration Act, seeking a measure of interim protection. The section does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say that such a measure should be sought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2 of the Arbitration Rules 1997, states that applications should be by summons in chambers but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does not say that these should be served on the other party. Counsel argued that the Second Defendant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not shown any provision barring the Court from granting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order, and that the fact that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provision is silent does not mean that the other side must be served. He referred the Court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Shanzu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Villa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v Guardian Bank Limited and another </w:t>
      </w:r>
      <w:r>
        <w:rPr>
          <w:rFonts w:ascii="Times New Roman" w:hAnsi="Times New Roman" w:cs="Times New Roman"/>
          <w:color w:val="000000"/>
        </w:rPr>
        <w:t>civil case number 642 of 2003, and submitted that there is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nothing in law or rules of practice to bar the Court from hearing matters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under section 7.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Referring to Order XXXIX, rule 3 of the Civil Procedure Rules,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rule does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require that the reasons for hearing a matter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must be recorded in the ruling. It only states “for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reasons to be recorded”. His reasons as to why the matter should be heard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were recorded on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four pages. Hence, as stated in </w:t>
      </w:r>
      <w:r>
        <w:rPr>
          <w:rFonts w:ascii="Times New Roman" w:hAnsi="Times New Roman" w:cs="Times New Roman"/>
          <w:i/>
          <w:iCs/>
          <w:color w:val="000000"/>
        </w:rPr>
        <w:t>Omega Enterprises (Kenya) Limited v Kenya Tourist Development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Corporation and others </w:t>
      </w:r>
      <w:r>
        <w:rPr>
          <w:rFonts w:ascii="Times New Roman" w:hAnsi="Times New Roman" w:cs="Times New Roman"/>
          <w:color w:val="000000"/>
        </w:rPr>
        <w:t>[1993] LLR 2525 (CAK), the case of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herein does not fall within the cluster of those in which no reasons were recorded.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response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submissions,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even though the dispute in this matter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essentially between the Plaintiff and the Second Defendant, the First Defendant is the provider of all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lastRenderedPageBreak/>
        <w:t>lines. The injunction sought is against the transfer of a circuit or line pending arbitration, and the only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party who can </w:t>
      </w:r>
      <w:proofErr w:type="spellStart"/>
      <w:r>
        <w:rPr>
          <w:rFonts w:ascii="Times New Roman" w:hAnsi="Times New Roman" w:cs="Times New Roman"/>
          <w:color w:val="000000"/>
        </w:rPr>
        <w:t>effect</w:t>
      </w:r>
      <w:proofErr w:type="spellEnd"/>
      <w:r>
        <w:rPr>
          <w:rFonts w:ascii="Times New Roman" w:hAnsi="Times New Roman" w:cs="Times New Roman"/>
          <w:color w:val="000000"/>
        </w:rPr>
        <w:t xml:space="preserve"> the transfer is the First Defendant. If they don’t transfer, then a dispute would not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Responding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that the Plaintiff has no proprietary right to the subject matter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lines,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stated that the lines are registered in the name of the Plaintiff; the Plaintiff is also the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renter and the person paying. As for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that an injunction cannot issue where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are adequate,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responded by arguing that an injunction can issue for breach of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Finally,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many points raised here were not a demurrer as they could be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canvassed in the main application. Even though it has been alleged that the Plaintiff’s application would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 thousands of customers, the Plaintiff’s only interest relates to EI circuit lines under number 69055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only.</w:t>
      </w:r>
    </w:p>
    <w:p w:rsidR="00CA4557" w:rsidRPr="00202833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Ngatia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that all applications must 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except where the Rules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specifically allow the Court to grant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orders. Unless a judge is empowered to hear a matter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parte</w:t>
      </w:r>
      <w:r>
        <w:rPr>
          <w:rFonts w:ascii="Times New Roman" w:hAnsi="Times New Roman" w:cs="Times New Roman"/>
          <w:color w:val="000000"/>
        </w:rPr>
        <w:t xml:space="preserve">, he must hear it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As for the place for the reasons for hearing an application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</w:t>
      </w:r>
      <w:r w:rsidR="0020283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must be distinguished from advocates’ submissions.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his part,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said it was incorrect for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allege that his client had an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uncontroverted interest in all lines, especially those that have already been transferred.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Having heard the rival submissions of all the counsel, this Court is of the view that there are two main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issues that cry for determination. Firstly, whether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can be granted under section 7 of the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Arbitration Act, 1995 and, secondly, whether reasons for hearing an injunction application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need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necessarily be recorded in the court’s ruling. Other issues which also call for determination include such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as to whether an injunction can lie where damages are an adequate remedy; the transfer of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internet lines; and the proprietary interests in the same. A word will be said shortly about the second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cluster.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before the Court was brought mainly under sections 3 and 3A of the Civil Procedure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Act, Order XXXIX, rules 1, 2, 3, 7 and 9 of the Civil Procedure Rules, section 7 of the Arbitration Act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herein above referred to, and rules 2, 8 and 11 of the Arbitration Rules, 1997. Counsel for the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Plaintiff/Applicant was very clear that the Applicant had come to court seeking an interim measure of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protection under section 7(1) of the Arbitration Act. Rule 2 of the Arbitration Rules, 1997, reads: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“Applications under sections 6 and 7 shall be made by summons in the suit”. In the course of the hearing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this application, each of the counsel gave the Court a generous dose of authorities, and even though</w:t>
      </w:r>
      <w:r w:rsidR="0020283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has read them all, it will not refer to all of them for the purpose of this ruling especially as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many of them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the same points.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Going back to rule 2 herein above referred to, it merely provides for applications under sections 6 and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 to be made by summons. Rule 11 provides that: “So far as is appropriate, the Civil Procedure Rules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apply to all proceedings under these rules”. The Civil Procedure Rules are replete with references to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summons. Most of the Orders in these Rules conclude by prescribing the mode in which applications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thereunder are to be made. The vast majority of these applications are required to be made by summons.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Even without these Rules calling for it, the applications are invariably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. In the few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instances where a party can be heard </w:t>
      </w:r>
      <w:r>
        <w:rPr>
          <w:rFonts w:ascii="Times New Roman" w:hAnsi="Times New Roman" w:cs="Times New Roman"/>
          <w:i/>
          <w:iCs/>
          <w:color w:val="000000"/>
        </w:rPr>
        <w:t xml:space="preserve">ex parte, </w:t>
      </w:r>
      <w:r>
        <w:rPr>
          <w:rFonts w:ascii="Times New Roman" w:hAnsi="Times New Roman" w:cs="Times New Roman"/>
          <w:color w:val="000000"/>
        </w:rPr>
        <w:t>this is always provided for. It is not inordinate to draw a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conclusion, therefore, that unless the rules of procedure expressly provide for an application to be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 xml:space="preserve">, all applications should be heard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the other way round. It would be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to public policy and natural justice if any litigant were to be entitled to obtain any orders at will,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without giving prior notice to those that may be adversely affected by such orders. This would create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sure recipe for chaos in the society. The hearing of applications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the rule; the hearing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the exception.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point is well demonstrated by the ruling of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JA in </w:t>
      </w:r>
      <w:r>
        <w:rPr>
          <w:rFonts w:ascii="Times New Roman" w:hAnsi="Times New Roman" w:cs="Times New Roman"/>
          <w:i/>
          <w:iCs/>
          <w:color w:val="000000"/>
        </w:rPr>
        <w:t>Uhuru Highway Development Limited v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Central Bank of Kenya </w:t>
      </w:r>
      <w:r>
        <w:rPr>
          <w:rFonts w:ascii="Times New Roman" w:hAnsi="Times New Roman" w:cs="Times New Roman"/>
          <w:color w:val="000000"/>
        </w:rPr>
        <w:t>[1995] LLR 2177 (CAK). Referring to this aspect of procedure, the Learned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 said: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basis for this requirement is obvious; it is a universal rule of natural justice that court orders ought to be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made only after hearing or giving all the parties and opportunity to be heard.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orders, whether they be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injunctions or whatever, form an exception to this rule and for a party to benefit from the exemption, there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must be a good and compelling reason for it”.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By reason of the foregoing, it goes without saying that in the absence of an express provision to the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contrary, the Court lacks the jurisdiction to grant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orders, either under section 7 of the Arbitration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 or otherwise.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If any more evidence were required to the effect that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are the exception rather than the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rule, one need look no further than Order XXXIX, rule 3 of the Civil Procedure Rules, to which I shall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revert shortly. The granting of any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injunctions under that limb of the law is surrounded by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certain safeguards – the Court must give reasons for hearing the application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 xml:space="preserve">; such an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6F594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injunction may be granted only once for not more than 14 days and should not be extended thereafter;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applicant must serve the order on the party to be restrained within three days of the date thereof.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restrictions ably demonstrate the straitjacket within which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injunctions must be confined,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they are the exception, rather than the rule. With respect, the argument that one could obtain an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 under section 7(1) of the Arbitration Act is untenable.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alternative route by which the Plaintiff could have accessed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injunction is via Order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XXXIX, rule 3(1) of the Civil Procedure Rules alluded to herein above.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rule states: “Where the court is satisfied for reasons to be recorded that the object of granting the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injunction would be defeated by the delay it may hear the application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”. Under this rule, before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court can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to hear an application for an injunction, it is a condition precedent that not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should it be satisfied that any delay would defeat the object of granting the injunction, but it should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record the reasons for being so satisfied. Failure to comply with these conditions vitiates any orders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obtained and renders the same of no effect. There is a preponderance of authorities on this point, and it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 suffice to refer to one or two.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Omega Enterprises (Kenya) Limited v Kenya Tourist Development Corporation and others </w:t>
      </w:r>
      <w:r>
        <w:rPr>
          <w:rFonts w:ascii="Times New Roman" w:hAnsi="Times New Roman" w:cs="Times New Roman"/>
          <w:color w:val="000000"/>
        </w:rPr>
        <w:t>[1993]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LLR 2525 (CAK), the Court of Appeal considered the full import of Order XXXIX, rule 3(1). Referring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this rule,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 JA as he then was said:</w:t>
      </w:r>
    </w:p>
    <w:p w:rsidR="00CA4557" w:rsidRDefault="00BA6159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4557">
        <w:rPr>
          <w:rFonts w:ascii="Times New Roman" w:hAnsi="Times New Roman" w:cs="Times New Roman"/>
          <w:color w:val="000000"/>
          <w:sz w:val="20"/>
          <w:szCs w:val="20"/>
        </w:rPr>
        <w:t xml:space="preserve">“Clearly, from the foregoing provisions, the hearing of an application for injunction </w:t>
      </w:r>
      <w:r w:rsidR="00CA455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 w:rsidR="00CA4557">
        <w:rPr>
          <w:rFonts w:ascii="Times New Roman" w:hAnsi="Times New Roman" w:cs="Times New Roman"/>
          <w:color w:val="000000"/>
          <w:sz w:val="20"/>
          <w:szCs w:val="20"/>
        </w:rPr>
        <w:t>can only be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4557">
        <w:rPr>
          <w:rFonts w:ascii="Times New Roman" w:hAnsi="Times New Roman" w:cs="Times New Roman"/>
          <w:color w:val="000000"/>
          <w:sz w:val="20"/>
          <w:szCs w:val="20"/>
        </w:rPr>
        <w:t>legitimate where the court is satisfied that the object of granting the injunction would be defeated by delay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A4557">
        <w:rPr>
          <w:rFonts w:ascii="Times New Roman" w:hAnsi="Times New Roman" w:cs="Times New Roman"/>
          <w:color w:val="000000"/>
          <w:sz w:val="20"/>
          <w:szCs w:val="20"/>
        </w:rPr>
        <w:t>and that satisfaction must be manifested by the recorded reasons of the court.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Generally, an injunction will be granted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ex parte </w:t>
      </w:r>
      <w:r>
        <w:rPr>
          <w:rFonts w:ascii="Times New Roman" w:hAnsi="Times New Roman" w:cs="Times New Roman"/>
          <w:color w:val="000000"/>
          <w:sz w:val="20"/>
          <w:szCs w:val="20"/>
        </w:rPr>
        <w:t>only in cases of emergency or in cases or urgency and there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 no way of knowing of the existence of these two factors unless the same is apparent on the record of the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court. A matter may be one of urgency either because the matter is too urgent to await a hearing notice for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instance where the property is in danger of being lost or destroyed or because the very fact of giving notice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precipitate the action which the action is designed to prevent…hence the need to show that there are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strong grounds to justify the application being made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ex parte</w:t>
      </w:r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concluded his remarks by stating: “Indeed, where proceedings are taken by a plaintiff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absence of the defendant, it is most important that there should be at every stage of the proceedings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strict compliance with the rules”. I need not </w:t>
      </w:r>
      <w:proofErr w:type="spellStart"/>
      <w:r>
        <w:rPr>
          <w:rFonts w:ascii="Times New Roman" w:hAnsi="Times New Roman" w:cs="Times New Roman"/>
          <w:color w:val="000000"/>
        </w:rPr>
        <w:t>belabour</w:t>
      </w:r>
      <w:proofErr w:type="spellEnd"/>
      <w:r>
        <w:rPr>
          <w:rFonts w:ascii="Times New Roman" w:hAnsi="Times New Roman" w:cs="Times New Roman"/>
          <w:color w:val="000000"/>
        </w:rPr>
        <w:t xml:space="preserve"> the point. The wording of Order XXXIX, rule 3(1)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very clear and the authorities on it are equally clear. It is mandatory for the judge to record the reasons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electing to hear an application for an injunction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Where the reasons are not recorded as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required, then any ensuing orders are invalid and are of no legal effect.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was suggested that the judge’s reasons for opting to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need not necessarily be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in the ruling. With respect, that suggestion cannot stand. It is in the ruling that the court ever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gives any reasons justifying its perception of an issue. It cannot be anywhere else.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Upon reflection and with hindsight, this Court shares the concerns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beginning of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of this application. He said that the grounds preferred by the Defendants as grounds of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preliminary objection were not grounds of preliminary objection at all. In his ruling in </w:t>
      </w:r>
      <w:r>
        <w:rPr>
          <w:rFonts w:ascii="Times New Roman" w:hAnsi="Times New Roman" w:cs="Times New Roman"/>
          <w:i/>
          <w:iCs/>
          <w:color w:val="000000"/>
        </w:rPr>
        <w:t>Garden Square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 xml:space="preserve">[2002] LLR 1695 (CCK), Justice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said that what constitutes a true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is a pure point of law which if successfully taken would have the effect of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disposing of the suit or application entirely. This ties up with the decision of the then Court of Appeal for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East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Africa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Biscuit Manufacturing Limited v West End Distributors Limited </w:t>
      </w:r>
      <w:r>
        <w:rPr>
          <w:rFonts w:ascii="Times New Roman" w:hAnsi="Times New Roman" w:cs="Times New Roman"/>
          <w:color w:val="000000"/>
        </w:rPr>
        <w:t>[1969] EA 696, in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Sir Charles Newbold, the President of that Court, referred to the increasing practice of raising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points, which should be argued in the normal manner, quite improperly by way of preliminary objection.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Judge said: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“A preliminary objection is in the nature of what used to be a demurrer. It raises a pure point of law which is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argued on the assumption that all the facts pleaded by the other side are correct. It cannot be raised if any fact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to be ascertained or if what is sought is the exercise of judicial discretion. The improper raising of points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way of preliminary objection does nothing but unnecessarily increase costs and, on occasion, confuse the</w:t>
      </w:r>
      <w:r w:rsidR="006F59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issues. This improper practice should stop”.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application, some of the arguments advanced under the cloak of preliminary objection do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properly constitute grounds of preliminary objection.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Instead, they are matters that are fit and proper for argument in the substantive application. Without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fear of contradiction, I can say that preliminary objection to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orders is well founded.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I cannot say the same for the other grounds of preliminary objection. Grounds relating to</w:t>
      </w:r>
      <w:r w:rsidR="009D19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in lieu of an injunction, proprietary interest in the lines, the transfer of lines, are all grounds</w:t>
      </w:r>
      <w:r w:rsidR="006F59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which, I think, should be heard in the main application.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this and other reasons earlier on alluded to, this Court is inclined to discharge the interim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 w:rsidR="006F594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 granted </w:t>
      </w:r>
      <w:r w:rsidR="00435AC6">
        <w:rPr>
          <w:rFonts w:ascii="Times New Roman" w:hAnsi="Times New Roman" w:cs="Times New Roman"/>
          <w:color w:val="000000"/>
        </w:rPr>
        <w:t>herein on 17 December 2003. How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ever, the court declines to dismiss the application </w:t>
      </w:r>
      <w:r>
        <w:rPr>
          <w:rFonts w:ascii="Times New Roman" w:hAnsi="Times New Roman" w:cs="Times New Roman"/>
          <w:i/>
          <w:iCs/>
          <w:color w:val="000000"/>
        </w:rPr>
        <w:t>in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limine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requested. Let the</w:t>
      </w:r>
      <w:r w:rsidR="009D19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orders therein prayed for be canvassed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It is so ordered. Costs will be in the cause.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First Defendant: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Gitau</w:t>
      </w:r>
      <w:proofErr w:type="spellEnd"/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Defendant:</w:t>
      </w:r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Njeri</w:t>
      </w:r>
      <w:proofErr w:type="spellEnd"/>
    </w:p>
    <w:p w:rsidR="00CA4557" w:rsidRDefault="00CA4557" w:rsidP="00CA4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575C55" w:rsidRDefault="00CA4557" w:rsidP="00CA4557">
      <w:proofErr w:type="spellStart"/>
      <w:r>
        <w:rPr>
          <w:rFonts w:ascii="Times New Roman" w:hAnsi="Times New Roman" w:cs="Times New Roman"/>
          <w:i/>
          <w:iCs/>
          <w:color w:val="000000"/>
        </w:rPr>
        <w:t>Munyu</w:t>
      </w:r>
      <w:proofErr w:type="spellEnd"/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57"/>
    <w:rsid w:val="00202833"/>
    <w:rsid w:val="00435AC6"/>
    <w:rsid w:val="00575C55"/>
    <w:rsid w:val="006F5945"/>
    <w:rsid w:val="009D1975"/>
    <w:rsid w:val="00BA6159"/>
    <w:rsid w:val="00C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FF439-D3C3-4CB5-8F56-398C8B4F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7</cp:revision>
  <dcterms:created xsi:type="dcterms:W3CDTF">2018-07-04T18:34:00Z</dcterms:created>
  <dcterms:modified xsi:type="dcterms:W3CDTF">2018-07-11T07:06:00Z</dcterms:modified>
</cp:coreProperties>
</file>