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Waiguru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Bank of Kenya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February 1971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1579/1969 (73/74)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Banking – Banker and customer – Negligence – Failure to credit account – Whether negligence.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Damages – Contract – Breach of – Failure by banker to credit customer’s account – Nominal</w:t>
      </w:r>
      <w:r w:rsidR="00FA1F9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damages.</w:t>
      </w:r>
    </w:p>
    <w:p w:rsidR="009B412B" w:rsidRDefault="00F77B97" w:rsidP="00F77B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Harris J: </w:t>
      </w:r>
      <w:r>
        <w:rPr>
          <w:rFonts w:ascii="Times New Roman" w:hAnsi="Times New Roman" w:cs="Times New Roman"/>
          <w:color w:val="000000"/>
        </w:rPr>
        <w:t>The plaintiff, an employee in the Department of Lands and Settlement (generally known as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“the Lands Department”) at Nairobi drew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on a current account maintained by him with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bank at its branch at Government Road, Nairobi, each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being dated 29 September 1969.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following day both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, having been duly presented to the bank, were endorsed by it with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“refer to drawer” and payment thereon was refused. The plaintiff claims that there were, in fact, or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for the negligence of the bank would have been, sufficient funds to the credit of his account to enable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to be met, and that as a result of what occurred he has been injured in his credit and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reputation and has suffered damage.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bank admits that 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were properly drawn, duly presented and subsequently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denies that such </w:t>
      </w:r>
      <w:proofErr w:type="spellStart"/>
      <w:r>
        <w:rPr>
          <w:rFonts w:ascii="Times New Roman" w:hAnsi="Times New Roman" w:cs="Times New Roman"/>
          <w:color w:val="000000"/>
        </w:rPr>
        <w:t>dishonouring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was wrongful or in breach of its duty to the plaintiff as his banker, and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denies that there were or ought to have been sufficient funds to enable 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or either of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to be met.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appears that the plaintiff entered the service of the Lands Department in the year 1964 and that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shortly afterwards he arranged with the Department that his monthly salary would be paid each month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into a branch of another bank, namely, National and </w:t>
      </w:r>
      <w:proofErr w:type="spellStart"/>
      <w:r>
        <w:rPr>
          <w:rFonts w:ascii="Times New Roman" w:hAnsi="Times New Roman" w:cs="Times New Roman"/>
          <w:color w:val="000000"/>
        </w:rPr>
        <w:t>Grindlays</w:t>
      </w:r>
      <w:proofErr w:type="spellEnd"/>
      <w:r>
        <w:rPr>
          <w:rFonts w:ascii="Times New Roman" w:hAnsi="Times New Roman" w:cs="Times New Roman"/>
          <w:color w:val="000000"/>
        </w:rPr>
        <w:t xml:space="preserve"> Bank Limited, where he then maintained a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account. Subsequently in the year 1969, at the request of the Department, he had removed his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from National and </w:t>
      </w:r>
      <w:proofErr w:type="spellStart"/>
      <w:r>
        <w:rPr>
          <w:rFonts w:ascii="Times New Roman" w:hAnsi="Times New Roman" w:cs="Times New Roman"/>
          <w:color w:val="000000"/>
        </w:rPr>
        <w:t>Grindlays</w:t>
      </w:r>
      <w:proofErr w:type="spellEnd"/>
      <w:r>
        <w:rPr>
          <w:rFonts w:ascii="Times New Roman" w:hAnsi="Times New Roman" w:cs="Times New Roman"/>
          <w:color w:val="000000"/>
        </w:rPr>
        <w:t xml:space="preserve"> Bank to the defendant bank.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procedure followed when the plaintiff sought to become a customer of the defendant bank was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on 20 August 1969 he completed and signed a formal request which (omitting certain irrelevant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portions) was in the following terms: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have to request that you will open a Current Account in my Name (entitled Peterson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Waiguru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account) and will accept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108/ – as an Initial Deposit.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hereby agree to conform to the rules governing Current Accounts at National Bank of Kenya Limited.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Please send me a statement of my account quarterly and supply me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book of 30 forms.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 correspondence relating to my account is to be addressed to: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Name: Peterson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Waiguru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Address: Box 30089, Nairobi.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drawn on my account will be signed in the following manner: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P. W.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Full Name: Peterson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Waiguru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Profession or Occupation: Civil Servant.”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practice of the bank (which, as will be seen, was followed in the present case) is for it to prepare, as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procedure of opening a current account, a “record card” showing the number of the account,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name, occupation and address of the customer, the date of opening the account and the sum initially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lodged to the credit of the account.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few days after the opening of the account the plaintiff received from the bank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book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bearing in the front in print the name “P. W.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” and the number 1.100.000.35, which was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allotted by the bank to his account.</w:t>
      </w:r>
    </w:p>
    <w:p w:rsidR="009B412B" w:rsidRDefault="00FA1F96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Sometime</w:t>
      </w:r>
      <w:r w:rsidR="009B412B">
        <w:rPr>
          <w:rFonts w:ascii="Times New Roman" w:hAnsi="Times New Roman" w:cs="Times New Roman"/>
          <w:color w:val="000000"/>
        </w:rPr>
        <w:t xml:space="preserve"> towards the middle or latter part of September 1969, but before the end of that month, he</w:t>
      </w:r>
      <w:r>
        <w:rPr>
          <w:rFonts w:ascii="Times New Roman" w:hAnsi="Times New Roman" w:cs="Times New Roman"/>
          <w:color w:val="000000"/>
        </w:rPr>
        <w:t xml:space="preserve"> </w:t>
      </w:r>
      <w:r w:rsidR="009B412B">
        <w:rPr>
          <w:rFonts w:ascii="Times New Roman" w:hAnsi="Times New Roman" w:cs="Times New Roman"/>
          <w:color w:val="000000"/>
        </w:rPr>
        <w:t xml:space="preserve">instructed his Department to send his salary </w:t>
      </w:r>
      <w:proofErr w:type="spellStart"/>
      <w:r w:rsidR="009B412B">
        <w:rPr>
          <w:rFonts w:ascii="Times New Roman" w:hAnsi="Times New Roman" w:cs="Times New Roman"/>
          <w:color w:val="000000"/>
        </w:rPr>
        <w:t>cheque</w:t>
      </w:r>
      <w:proofErr w:type="spellEnd"/>
      <w:r w:rsidR="009B412B">
        <w:rPr>
          <w:rFonts w:ascii="Times New Roman" w:hAnsi="Times New Roman" w:cs="Times New Roman"/>
          <w:color w:val="000000"/>
        </w:rPr>
        <w:t xml:space="preserve"> each month to the defendant bank. This instruction</w:t>
      </w:r>
      <w:r>
        <w:rPr>
          <w:rFonts w:ascii="Times New Roman" w:hAnsi="Times New Roman" w:cs="Times New Roman"/>
          <w:color w:val="000000"/>
        </w:rPr>
        <w:t xml:space="preserve"> </w:t>
      </w:r>
      <w:r w:rsidR="009B412B">
        <w:rPr>
          <w:rFonts w:ascii="Times New Roman" w:hAnsi="Times New Roman" w:cs="Times New Roman"/>
          <w:color w:val="000000"/>
        </w:rPr>
        <w:lastRenderedPageBreak/>
        <w:t>was in the form of a printed “mandate” with certain blanks filled in by him in ink, dated 26 August 1969,</w:t>
      </w:r>
      <w:r>
        <w:rPr>
          <w:rFonts w:ascii="Times New Roman" w:hAnsi="Times New Roman" w:cs="Times New Roman"/>
          <w:color w:val="000000"/>
        </w:rPr>
        <w:t xml:space="preserve"> </w:t>
      </w:r>
      <w:r w:rsidR="009B412B">
        <w:rPr>
          <w:rFonts w:ascii="Times New Roman" w:hAnsi="Times New Roman" w:cs="Times New Roman"/>
          <w:color w:val="000000"/>
        </w:rPr>
        <w:t>and signed by him. This mandate, which was executed in duplicate, was in the following terms: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“Payment of Salaries,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to Banks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I, the undersigned, do hereby request you to pay all sums of money now due or which may hereafter become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due to me in respect of salary or allowances to the branch of the National Bank of Kenya Limited, at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Road Account No. 1.00.000.35 for credit of my account there.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acknowledgement of the said branch of the Bank shall be your full and sufficient discharge. This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 cancels any other authority given by me prior to this date.”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will be observed that the number of the account as shown in the mandate was 1.00.000.35 instead of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1.100.000.35, as shown in the bank’s records, and this discrepancy, as will be seen, constituted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starting point of the difficulties which arose between the parties.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handed this mandate to his superior officer, intending it to apply to his September salary,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salary for the previous month having gone through National and </w:t>
      </w:r>
      <w:proofErr w:type="spellStart"/>
      <w:r>
        <w:rPr>
          <w:rFonts w:ascii="Times New Roman" w:hAnsi="Times New Roman" w:cs="Times New Roman"/>
          <w:color w:val="000000"/>
        </w:rPr>
        <w:t>Grindlays</w:t>
      </w:r>
      <w:proofErr w:type="spellEnd"/>
      <w:r>
        <w:rPr>
          <w:rFonts w:ascii="Times New Roman" w:hAnsi="Times New Roman" w:cs="Times New Roman"/>
          <w:color w:val="000000"/>
        </w:rPr>
        <w:t xml:space="preserve"> Bank in accordance with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had been the former arrangement. It is clear that the Department understood this to be the plaintiff’s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wish and it proceeded to act upon the mandate in regard to his September salary by including it with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salaries of other employees which were being dealt with in a similar manner.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clerk in the salaries section of the department named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gave evidence to the effect that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in the case of employees whose salaries are paid in this way is that, on the 25th or some later day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towards the end of the month, the section dispatches by hand to the bank a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covering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respective salaries for that month. A similar procedure is followed in regard to other employees who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 accounts in other banks, the aim in each case being to ensure that every employee should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 credit in his bank account for his remuneration before the end of the month to which it relates.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necessary now to consider shortly the manner in which these composite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are dealt with.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Nyammo</w:t>
      </w:r>
      <w:proofErr w:type="spellEnd"/>
      <w:r>
        <w:rPr>
          <w:rFonts w:ascii="Times New Roman" w:hAnsi="Times New Roman" w:cs="Times New Roman"/>
          <w:color w:val="000000"/>
        </w:rPr>
        <w:t>, who has been an employee of the defendant bank since March 1969, said in evidence that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towards the end of every month the bank receives with each of these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a list, which was referred to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“salary – list”, containing both the numbers of the various employees’ accounts to be credited and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respective amounts, and that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is there – upon passed to the bank’s clearing department.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department is responsible for issuing credit slips, one for each employee whose name is on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relative salary list, and these, in the case of current accounts, it passes to the current accounts department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they are posted.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bank employs a partially </w:t>
      </w:r>
      <w:proofErr w:type="spellStart"/>
      <w:r>
        <w:rPr>
          <w:rFonts w:ascii="Times New Roman" w:hAnsi="Times New Roman" w:cs="Times New Roman"/>
          <w:color w:val="000000"/>
        </w:rPr>
        <w:t>mechanised</w:t>
      </w:r>
      <w:proofErr w:type="spellEnd"/>
      <w:r>
        <w:rPr>
          <w:rFonts w:ascii="Times New Roman" w:hAnsi="Times New Roman" w:cs="Times New Roman"/>
          <w:color w:val="000000"/>
        </w:rPr>
        <w:t xml:space="preserve"> posting system and the clerk in the clearing department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operating the machine would or should detect any inconsistency between the particulars shown on a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 slip and those appearing on the customer’s record card. If such an inconsistency should be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observed, in the case of a payment made to a Government servant by means of a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one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following three courses would be taken: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amount involved would be returned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Government Department which had remitted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money, with a covering letter pointing out that the name of the account indicated by the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Department appeared to be incorrect; or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amount involved would be placed in a suspense account pending clarification of the position by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either the Government Department or the customer; or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bank would in the exercise of its discretion and after a further scrutiny of the records determine the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identity of the account to the credit of which the amount should be placed.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Dealing with the general practice of the defendant bank in its Government Road branch at Nairobi, Mr.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Nyammo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normally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, unless post-dated, are credited within twenty-four hours of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presentation and that if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after being credited is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 the bank reverses the entry in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customer’s account. The system operates by means of the clerk in charge of the machine feeding into it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time the appropriate record card and the other information necessitated by the particular transaction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the entry posted.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explained that the posting of current account is always deferred by one day so that, in effect, it 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day in </w:t>
      </w:r>
      <w:proofErr w:type="spellStart"/>
      <w:r>
        <w:rPr>
          <w:rFonts w:ascii="Times New Roman" w:hAnsi="Times New Roman" w:cs="Times New Roman"/>
          <w:color w:val="000000"/>
        </w:rPr>
        <w:t>arrear</w:t>
      </w:r>
      <w:proofErr w:type="spellEnd"/>
      <w:r>
        <w:rPr>
          <w:rFonts w:ascii="Times New Roman" w:hAnsi="Times New Roman" w:cs="Times New Roman"/>
          <w:color w:val="000000"/>
        </w:rPr>
        <w:t xml:space="preserve">. Accordingly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received on the 25th day of a month but dated the 26th would be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posted in the customer’s account on the 27th but the posting would be shown as of the 26th. Similarly a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lastRenderedPageBreak/>
        <w:t>cheque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which was both dated and received on the 25th of the month would be posted on the 26th but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shown as of the 25th. Although actually posted on the 26th such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could not be drawn against by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customer until the 27th unless the bank was prepared to accept the risk of being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>, a course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normally adopted only in the case of customers whom the bank knew and considered to be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reliable.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witness said that all completely new customers of whom the bank knows nothing are told verbally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bank’s clerks every time they make a lodgment of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that they may not draw against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lodgment until 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are cleared. He agreed that in this context the present plaintiff was a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completely new customer but he did not suggest how the warning is conveyed to customers whose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salaries are lodged in bulk by their employers as in the present case nor was there any evidence to show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plaintiff had received such a warning.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Turning to the specific circumstance surrounding the present case Mr. </w:t>
      </w:r>
      <w:proofErr w:type="spellStart"/>
      <w:r>
        <w:rPr>
          <w:rFonts w:ascii="Times New Roman" w:hAnsi="Times New Roman" w:cs="Times New Roman"/>
          <w:color w:val="000000"/>
        </w:rPr>
        <w:t>Nyammo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remembered the plaintiff’s visit to the bank on 20 August 1969 for the purpose of opening the account in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own name which he gave as “Peterson </w:t>
      </w:r>
      <w:proofErr w:type="spellStart"/>
      <w:r>
        <w:rPr>
          <w:rFonts w:ascii="Times New Roman" w:hAnsi="Times New Roman" w:cs="Times New Roman"/>
          <w:color w:val="000000"/>
        </w:rPr>
        <w:t>Waiguru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”. The plaintiff completed and the witness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countersigned the printed request of that date already referred to and the bank thereupon caused to be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prepared the customary “record card” the material portions of which read as follows: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Account No. 1.100.000.35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Current Account Department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Constituents Record Card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Name in full: Peterson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Waiguru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Profession: Civil Servant Min. of Lands &amp; Settlement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Address: Box 30089, Nairobi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Date of Opening Account 20.8.69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Opening Balance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108/–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Introduction: Mr. J. M. </w:t>
      </w:r>
      <w:proofErr w:type="spellStart"/>
      <w:r>
        <w:rPr>
          <w:rFonts w:ascii="Times New Roman" w:hAnsi="Times New Roman" w:cs="Times New Roman"/>
          <w:color w:val="000000"/>
        </w:rPr>
        <w:t>Wairagu</w:t>
      </w:r>
      <w:proofErr w:type="spellEnd"/>
      <w:r>
        <w:rPr>
          <w:rFonts w:ascii="Times New Roman" w:hAnsi="Times New Roman" w:cs="Times New Roman"/>
          <w:color w:val="000000"/>
        </w:rPr>
        <w:t xml:space="preserve"> (Has an account with us).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Nyammo</w:t>
      </w:r>
      <w:proofErr w:type="spellEnd"/>
      <w:r>
        <w:rPr>
          <w:rFonts w:ascii="Times New Roman" w:hAnsi="Times New Roman" w:cs="Times New Roman"/>
          <w:color w:val="000000"/>
        </w:rPr>
        <w:t xml:space="preserve"> agreed that the bank had issued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book to the plaintiff and be identified the two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dishonoured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as having come from that book. When shown in court the mandate of 26 August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1969 he said that he had seen similar mandates previously but not the particular one and that so far as 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aware neither a duplicate nor a copy of it had been received by the bank. He said that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handwriting on the mandate appeared to be that of the plaintiff but that the account number given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thereon, namely, 1.00.000.35, was not the number of the plaintiff’s account in the bank’s books.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witness said that the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, which amounted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5,756/75 and included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salary, together with the relative salary list, were received from the Lands Department on 25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but that neither the plaintiff’s name nor his account number appeared on the list. He stated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account number 10000035 appeared on the salary list against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1,655/ – and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 “Peterson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”, but that the bank did not have in its books an account bearing either that name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that number. The composite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post-dated to 26 September, although received the previous day, was cleared on 26 whereupon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several credits represented thereby were transferred to the current accounts department to be there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dealt with.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 produced in evidence a </w:t>
      </w:r>
      <w:proofErr w:type="spellStart"/>
      <w:r>
        <w:rPr>
          <w:rFonts w:ascii="Times New Roman" w:hAnsi="Times New Roman" w:cs="Times New Roman"/>
          <w:color w:val="000000"/>
        </w:rPr>
        <w:t>photostat</w:t>
      </w:r>
      <w:proofErr w:type="spellEnd"/>
      <w:r>
        <w:rPr>
          <w:rFonts w:ascii="Times New Roman" w:hAnsi="Times New Roman" w:cs="Times New Roman"/>
          <w:color w:val="000000"/>
        </w:rPr>
        <w:t xml:space="preserve"> copy, admitted by consent, of a “credit slip” bearing the words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figures “Current Account: Credit Peterson W.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. 1.100.000.35 Account No.”, and recording an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1,655/ – against the date 26 September 1969, the employer’s name being shown 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foot as “Ministry of Lands and Settlement”. Above the figures 1.100.000.35 there had seemingly been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and scored out another number which appeared to be “1000.36”, and the name “Peterson W.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” was so written as to suggest that the letter “W” had not been there originally and had been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inserted later. This slip, the witness said, speaking from his knowledge of the practice of the bank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originated in the current accounts section having been prepared by a clerk from the details shown on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salary list, and he added that from his examination of the credit slip it seemed clear to him that a wrong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and name had first been inserted with the result that, when fed into the machine, the slip had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“rejected”, after which it was corrected and again fed to the machine by which it was then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“accepted”, leading to the plaintiff’s current account being ultimately credited.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Nyammo</w:t>
      </w:r>
      <w:proofErr w:type="spellEnd"/>
      <w:r>
        <w:rPr>
          <w:rFonts w:ascii="Times New Roman" w:hAnsi="Times New Roman" w:cs="Times New Roman"/>
          <w:color w:val="000000"/>
        </w:rPr>
        <w:t xml:space="preserve"> further stated from his knowledge of the manner of operation of the bank that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machine operator would have been the first person to discover the inconsistency between the particulars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in the salary list (as shown in the credit slip) and the particulars in the bank’s books, and that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this discovery was made some person in authority would have exercised his discretion, corrected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slip, and caused it to be again fed to the machine. The machine operator would not himself have had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authority to make the correction and his duty on observing the error would be to bring the matter to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either of the manager or of the officer in charge of current accounts. Both the machine operator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branch manager as at that time have since left the service of the bank and neither they nor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in charge of current accounts was called to give evidence.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witness said that if one of a number of credit slips sent to the current accounts department could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accepted by the machine owing to a discrepancy it could not be posted with the others and that in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case, because of the delay occasioned by having the error put right, the plaintiff’s account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unlike those of the other employees on the salary list, was not shown as credited until 30 September.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While admitting the possibility of the two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having been presented on that same day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account had been credited he said that if when they were presented the account had already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actually credited with the plaintiff’s share of the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, the two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been met. He also said that, although he had no knowledge of an arrangement by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committee of Nairobi clearing banks whereby the clearing times in the Nairobi area would enable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customers, wishing to draw cash against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paid into their accounts, to do so on the second business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day after lodgment of 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, he was aware that banks are supposed to pay civil servants one day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end of each month, that everybody is expected to know that, and that such is in fact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of the defendant bank.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agreed that, contributory negligence not having been pleaded, the only issue apart from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is as to whether the bank was unreasonably slow and therefore negligent in crediting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plaintiff’s account with his share of the proceeds of the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received by the bank, together with the salary list, on 25 September and cleared on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26 September. The next step to be taken was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the transaction to the bank’s current accounts section for the preparation there in manuscript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several credit slips required in respect of the six separate salary payments which it represented and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onward transmission by that section to the machine operator for posting. Precisely when this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and onward transmission took place has not been established but it is clear that on the balance of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probabilities it was on the 27th since that was the date upon which the current account of Mr. </w:t>
      </w:r>
      <w:proofErr w:type="spellStart"/>
      <w:r>
        <w:rPr>
          <w:rFonts w:ascii="Times New Roman" w:hAnsi="Times New Roman" w:cs="Times New Roman"/>
          <w:color w:val="000000"/>
        </w:rPr>
        <w:t>Wairagu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six other employees named on the salary list, was credited. This day, being a Saturday, was a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half-holiday in all Nairobi banks, and since the end of the month was at hand, there was a distinct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possibility, as stated by Mr. </w:t>
      </w:r>
      <w:proofErr w:type="spellStart"/>
      <w:r>
        <w:rPr>
          <w:rFonts w:ascii="Times New Roman" w:hAnsi="Times New Roman" w:cs="Times New Roman"/>
          <w:color w:val="000000"/>
        </w:rPr>
        <w:t>Nyammo</w:t>
      </w:r>
      <w:proofErr w:type="spellEnd"/>
      <w:r>
        <w:rPr>
          <w:rFonts w:ascii="Times New Roman" w:hAnsi="Times New Roman" w:cs="Times New Roman"/>
          <w:color w:val="000000"/>
        </w:rPr>
        <w:t>, that the bank’s efforts to investigate and correct the error manifest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salary list in relation to the plaintiff began on Monday the 29th.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case that the bank succeeded in solving the problem as to the identity of the plaintiff’s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card on Wednesday 1 October, on which day it placed the moneys to the credit of the plaintiff’s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account, the posting showing the bringing of the moneys to credit on the previous day. The question,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then, is as to whether the lapse of time ensuing between Friday 26 September and the following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Wednesday was reasonably necessary to enable the bank safely to post in its books the credit accruing to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from the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Perhaps the simplest method of determining the matter is to consider the courses open to the bank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it found itself faced with the problem of locating a home for the insufficiently designated sum of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1,655/-. As already mentioned, these courses were three in number, namely, to return the money to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Lands Department whence it had come; to hold it in suspense and communicate with that Department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clarification; or to shoulder the burden of attempting by itself, from its knowledge of the matter and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circumstances, to elucidate the problem.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Taking judicial notice, as I am bound to do, of the speed with which a solution might have been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expected had either the first or second of these alternatives been chosen, I have little hesitation in holding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neither of these two courses of action would have led to the plaintiff’s account in the bank being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credited </w:t>
      </w:r>
      <w:r>
        <w:rPr>
          <w:rFonts w:ascii="Times New Roman" w:hAnsi="Times New Roman" w:cs="Times New Roman"/>
          <w:color w:val="000000"/>
        </w:rPr>
        <w:lastRenderedPageBreak/>
        <w:t xml:space="preserve">in sufficient time to enable the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with which we are concerned to have been met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presented on 30 September.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therefore becomes necessary to consider whether the bank, having justifiably adopted the third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alternative course, as it did, acted with sufficient diligence and expedition to meet the requirements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imposed upon it by the relationship of banker and customer existing between it and the plaintiff.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general principle, as I understand it, is that although it is the duty of a banker, to whom his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customer’s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is presented for payment, to pay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forthwith if there are sufficient funds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for the purpose, he will not be liable on a failure to pay, notwithstanding that he had sufficient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funds in his hands at the time of presentment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unless a reasonable time has elapsed before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presentment to enable the fact of the receipt of funds to become known to him. No question arises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 as to the date of presentment by the bank of the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and the question at issue turns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solely on the failure or inability of the bank to put the plaintiff’s account in funds in sufficient time to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enable the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drawn by him and presented on 30 September to be </w:t>
      </w:r>
      <w:proofErr w:type="spellStart"/>
      <w:r>
        <w:rPr>
          <w:rFonts w:ascii="Times New Roman" w:hAnsi="Times New Roman" w:cs="Times New Roman"/>
          <w:color w:val="000000"/>
        </w:rPr>
        <w:t>honoured</w:t>
      </w:r>
      <w:proofErr w:type="spellEnd"/>
      <w:r>
        <w:rPr>
          <w:rFonts w:ascii="Times New Roman" w:hAnsi="Times New Roman" w:cs="Times New Roman"/>
          <w:color w:val="000000"/>
        </w:rPr>
        <w:t>. The criterion 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of reasonableness, and the position would appear to be accurately stated in </w:t>
      </w:r>
      <w:r>
        <w:rPr>
          <w:rFonts w:ascii="Times New Roman" w:hAnsi="Times New Roman" w:cs="Times New Roman"/>
          <w:i/>
          <w:iCs/>
          <w:color w:val="000000"/>
        </w:rPr>
        <w:t>Grant on Banking</w:t>
      </w:r>
      <w:r>
        <w:rPr>
          <w:rFonts w:ascii="Times New Roman" w:hAnsi="Times New Roman" w:cs="Times New Roman"/>
          <w:color w:val="000000"/>
        </w:rPr>
        <w:t>, 7th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 at p. 87, where the learned editors say in effect that what is a reasonable time for a banker to require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enable the matter of the receipt of funds to become known to him is a question of fact to be ascertained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such case by reference to its particular circumstances including the general magnitude and extent of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business 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bank, the pressure of business at the time or on the previous part of the day in question, and so forth.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Gautama, for the plaintiff, and having stated at the commencement of his submission that the true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is then as to whether the bank, having elected not to return the money in question to the Lands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Department, had been unreasonably slow in placing it to the plaintiff’s account and therefore negligent,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adumbrated a three-fold proposition to the effect that the court could not decide the question before it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knowing how soon after the receipt of the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the bank had come to know that part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amount comprised in it was the property of the plaintiff, that only the bank could establish this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fact, and that by virtue of s. 112 of the Evidence Act (Cap. 80) it was the duty of the bank to produce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necessary to enable the question to be decided.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think, with respect, that Mr. Gautama is over-stretching the effect of the section, for its purpose 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provide that when a fact is </w:t>
      </w:r>
      <w:proofErr w:type="gramStart"/>
      <w:r>
        <w:rPr>
          <w:rFonts w:ascii="Times New Roman" w:hAnsi="Times New Roman" w:cs="Times New Roman"/>
          <w:color w:val="000000"/>
        </w:rPr>
        <w:t>specially</w:t>
      </w:r>
      <w:proofErr w:type="gramEnd"/>
      <w:r>
        <w:rPr>
          <w:rFonts w:ascii="Times New Roman" w:hAnsi="Times New Roman" w:cs="Times New Roman"/>
          <w:color w:val="000000"/>
        </w:rPr>
        <w:t xml:space="preserve"> within the knowledge of any party to the proceedings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burden of proving or disproving the fact lies upon that party. It has not been shown that the bank is now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aware or has the means of becoming aware of the precise date upon which it first came to know of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plaintiff’s interest in the proceeds of the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and I cannot accept the suggestion that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is bound to call as witness its former employees to give evidence on the matter. Apart from the fact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knowledge of such persons is not now the knowledge of the bank (if, indeed, it ever was), it is at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best doubtful to what extent the recollection of such persons as to the matter could be relied upon by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after the intervening passage of time.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plaintiff also submitted that the fact that a bank is very busy at the end of the month 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excuse for delay nor is a shortage of staff or the fact that 27 September, being a Saturday, was a half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holiday, and that if the bank is insufficiently staffed to carry out its duties properly it should not take in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business. The better view, is, I feel, implicit in the passage from </w:t>
      </w:r>
      <w:r>
        <w:rPr>
          <w:rFonts w:ascii="Times New Roman" w:hAnsi="Times New Roman" w:cs="Times New Roman"/>
          <w:i/>
          <w:iCs/>
          <w:color w:val="000000"/>
        </w:rPr>
        <w:t xml:space="preserve">Grant on Banking </w:t>
      </w:r>
      <w:r>
        <w:rPr>
          <w:rFonts w:ascii="Times New Roman" w:hAnsi="Times New Roman" w:cs="Times New Roman"/>
          <w:color w:val="000000"/>
        </w:rPr>
        <w:t>to which I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already referred, in addition to which it could not seriously be suggested that the range of duties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cast upon a bank by virtue of the relationship of banker and customer involves the making of provision to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 with problems arising from the gross carelessness of others, whether customers or not, such as arose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Gautama next contended, as I understood him, that there could be no suggestion that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inaccurate statement given to the bank by the Lands Department as to the number of the plaintiff’s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had contributed to the delay which occurred on the part of the bank. On the contrary I am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satisfied, and so hold, that the delay was occasioned directly by the inaccuracy of that statement and that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critical question is whether the delay so caused was improperly prolonged by the bank, thereby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leading to the </w:t>
      </w:r>
      <w:proofErr w:type="spellStart"/>
      <w:r>
        <w:rPr>
          <w:rFonts w:ascii="Times New Roman" w:hAnsi="Times New Roman" w:cs="Times New Roman"/>
          <w:color w:val="000000"/>
        </w:rPr>
        <w:t>dishonouring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of the plaintiff’s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Lastly it was submitted that, since the plaintiff’s account was in fact credited with his share of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on 1 October (but with effect as of 30 September) an onus lay on the bank to show that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dishonouring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of his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on 30 September occurred at a moment of time prior to that of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crediting of the account. I find this somewhat ingenious proposition unacceptable for the reason that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crediting of the account on 30 September was an entirely notional concept to accord with current banking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practice, the physical act of posting the credit not having taken place until the following day.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early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Marzetti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Williams</w:t>
      </w:r>
      <w:r>
        <w:rPr>
          <w:rFonts w:ascii="Times New Roman" w:hAnsi="Times New Roman" w:cs="Times New Roman"/>
          <w:color w:val="000000"/>
        </w:rPr>
        <w:t>, 1 B. &amp; Ad. 415, it was held that, generally speaking,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a banker, acting as agent for his customer, collects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payable to the latter he must be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a reasonable time, consistent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ordinary book-keeping, in which to pass the proceeds to the customer’s current account so as to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enable them to be drawn against. The application of that principle to the present case constitutes in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the issue for decision, namely, was the bank acting unreasonably in failing to place the moneys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question to the plaintiff’s credit at a date earlier than 1 October.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Regard must also be had to the well-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rule, illustrated by the House of Lords in </w:t>
      </w:r>
      <w:r>
        <w:rPr>
          <w:rFonts w:ascii="Times New Roman" w:hAnsi="Times New Roman" w:cs="Times New Roman"/>
          <w:i/>
          <w:iCs/>
          <w:color w:val="000000"/>
        </w:rPr>
        <w:t>London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Joint Stock Bank v. Macmillan</w:t>
      </w:r>
      <w:r>
        <w:rPr>
          <w:rFonts w:ascii="Times New Roman" w:hAnsi="Times New Roman" w:cs="Times New Roman"/>
          <w:color w:val="000000"/>
        </w:rPr>
        <w:t>, [1918] A.C. 777, that a banker is entitled to decline unusual risks. As 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in </w:t>
      </w:r>
      <w:r>
        <w:rPr>
          <w:rFonts w:ascii="Times New Roman" w:hAnsi="Times New Roman" w:cs="Times New Roman"/>
          <w:i/>
          <w:iCs/>
          <w:color w:val="000000"/>
        </w:rPr>
        <w:t>Paget’s Law of Banking</w:t>
      </w:r>
      <w:r>
        <w:rPr>
          <w:rFonts w:ascii="Times New Roman" w:hAnsi="Times New Roman" w:cs="Times New Roman"/>
          <w:color w:val="000000"/>
        </w:rPr>
        <w:t xml:space="preserve">, 6th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p. 243,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a fair reading of the contractual obligation that not only shall the customer not impose, but the banker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or need not undertake, exceptional risks. There are contingencies arising in banking practice, say with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regard to indorsements, where, in the interests of banker and customer alike, the only reasonable course is that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usually adopted, namely, to ‘postpone’ payment pending enquiries or pending confirmation.”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relevance of this rule in the present case is readily seen when it is appreciated that were the bank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haste or carelessness to have placed the money to the credit of a wrong account rectification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might well have been impossible.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 before the court, as already mentioned, is one of fact and falls to be determined in the light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such evidence as has been adduced. It is not denied that the bank employs a partially </w:t>
      </w:r>
      <w:r w:rsidR="00FA1F96">
        <w:rPr>
          <w:rFonts w:ascii="Times New Roman" w:hAnsi="Times New Roman" w:cs="Times New Roman"/>
          <w:color w:val="000000"/>
        </w:rPr>
        <w:t xml:space="preserve">mechanized </w:t>
      </w:r>
      <w:r>
        <w:rPr>
          <w:rFonts w:ascii="Times New Roman" w:hAnsi="Times New Roman" w:cs="Times New Roman"/>
          <w:color w:val="000000"/>
        </w:rPr>
        <w:t>system of book-keeping, but none of the authorities cited by counsel dealt with the circumstances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surrounding the use of such a method or the difficulties which might then be expected to follow when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inaccurate information accompanies a payment to the bank of moneys intended for a customer. Here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 found itself, </w:t>
      </w:r>
      <w:r w:rsidR="00FA1F96">
        <w:rPr>
          <w:rFonts w:ascii="Times New Roman" w:hAnsi="Times New Roman" w:cs="Times New Roman"/>
          <w:color w:val="000000"/>
        </w:rPr>
        <w:t>though</w:t>
      </w:r>
      <w:r>
        <w:rPr>
          <w:rFonts w:ascii="Times New Roman" w:hAnsi="Times New Roman" w:cs="Times New Roman"/>
          <w:color w:val="000000"/>
        </w:rPr>
        <w:t xml:space="preserve"> none of its own doing, in a dilemma arising solely from the error committed by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stranger, namely, the Lands Department, in the preparation of the salary list. A delay of some days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ensued on the part of the bank in having the error investigated and corrected and then in bringing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moneys concerned to the credit of the plaintiff. During this time the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, drawn by the plaintiff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fair anticipation that they would be met out of those moneys, were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>. Was the bank’s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delay unreasonable? Mr. </w:t>
      </w:r>
      <w:proofErr w:type="spellStart"/>
      <w:r>
        <w:rPr>
          <w:rFonts w:ascii="Times New Roman" w:hAnsi="Times New Roman" w:cs="Times New Roman"/>
          <w:color w:val="000000"/>
        </w:rPr>
        <w:t>Muite</w:t>
      </w:r>
      <w:proofErr w:type="spellEnd"/>
      <w:r>
        <w:rPr>
          <w:rFonts w:ascii="Times New Roman" w:hAnsi="Times New Roman" w:cs="Times New Roman"/>
          <w:color w:val="000000"/>
        </w:rPr>
        <w:t xml:space="preserve">, for the defendant, referred me to a passage in </w:t>
      </w:r>
      <w:r>
        <w:rPr>
          <w:rFonts w:ascii="Times New Roman" w:hAnsi="Times New Roman" w:cs="Times New Roman"/>
          <w:i/>
          <w:iCs/>
          <w:color w:val="000000"/>
        </w:rPr>
        <w:t>Grant on Banking</w:t>
      </w:r>
      <w:r>
        <w:rPr>
          <w:rFonts w:ascii="Times New Roman" w:hAnsi="Times New Roman" w:cs="Times New Roman"/>
          <w:color w:val="000000"/>
        </w:rPr>
        <w:t>, 7th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p. 87, dealing with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Banks v. Bank of New Zealand </w:t>
      </w:r>
      <w:r>
        <w:rPr>
          <w:rFonts w:ascii="Times New Roman" w:hAnsi="Times New Roman" w:cs="Times New Roman"/>
          <w:color w:val="000000"/>
        </w:rPr>
        <w:t>(1902), 22 N.Z.L.R. 572. This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passage reads as follows: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the banker has omitted to credit moneys paid in by reason of the fact that a wrong name was inserted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paying-in slip by the customer, the banker was held not to be liable for the consequent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dishonour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although the right name had been entered on the counterfoil stamped by the banker and returned to</w:t>
      </w:r>
      <w:r w:rsidR="00FA1F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customer.”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counsel rightly says, this decision would appear to be based on facts which for all material purposes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in exact parallel with those in the present case. Unfortunately no copy of the report appears to be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and I am unable with safety to assume that there may not have been some other element, such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local statutory provision, present there which precludes the decision from being one of general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in this country.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present case the only evidence specifically directed to the matter of reasonableness regarding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time factor is that of Mr. </w:t>
      </w:r>
      <w:proofErr w:type="spellStart"/>
      <w:r>
        <w:rPr>
          <w:rFonts w:ascii="Times New Roman" w:hAnsi="Times New Roman" w:cs="Times New Roman"/>
          <w:color w:val="000000"/>
        </w:rPr>
        <w:t>Nyammo</w:t>
      </w:r>
      <w:proofErr w:type="spellEnd"/>
      <w:r>
        <w:rPr>
          <w:rFonts w:ascii="Times New Roman" w:hAnsi="Times New Roman" w:cs="Times New Roman"/>
          <w:color w:val="000000"/>
        </w:rPr>
        <w:t xml:space="preserve"> who said that, speaking as a banker, he would consider the time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by the bank to bring the moneys to credit of the plaintiff’s account as not unreasonable in the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circumstances. Although the evidence of this witness, who is himself an employee of the bank, cannot be</w:t>
      </w:r>
      <w:r w:rsidR="00FA1F96">
        <w:rPr>
          <w:rFonts w:ascii="Times New Roman" w:hAnsi="Times New Roman" w:cs="Times New Roman"/>
          <w:color w:val="000000"/>
        </w:rPr>
        <w:t xml:space="preserve"> d</w:t>
      </w:r>
      <w:r>
        <w:rPr>
          <w:rFonts w:ascii="Times New Roman" w:hAnsi="Times New Roman" w:cs="Times New Roman"/>
          <w:color w:val="000000"/>
        </w:rPr>
        <w:t>escribed as that of a disinterested person, his testimony</w:t>
      </w:r>
      <w:r w:rsidR="00FA1F9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shaken in cross-examination and no comparable testimony from any other source was adduced</w:t>
      </w:r>
      <w:r w:rsidR="00FA1F96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y either side.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anxiously weighed the evidence adduced in the light of all the circumstances, including in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the facts that the plaintiff was a new customer of the bank whose account had not previously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fed from the proceeds of such a composite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; that the designation of the plaintiff on the salary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list by the name of “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Peterson”, although not entirely incorrect, differed from the form of his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under which he had opened and maintained his account; that his designation by number on the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salary list was manifestly erroneous; that the inevitable result of that manner of designation was to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 the bank either to reject out of hand the attempted payment to his account and return the money to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Lands Department, or to assume the burden (whether or not it first placed the money in a suspense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account) of </w:t>
      </w:r>
      <w:proofErr w:type="spellStart"/>
      <w:r>
        <w:rPr>
          <w:rFonts w:ascii="Times New Roman" w:hAnsi="Times New Roman" w:cs="Times New Roman"/>
          <w:color w:val="000000"/>
        </w:rPr>
        <w:t>endeavouring</w:t>
      </w:r>
      <w:proofErr w:type="spellEnd"/>
      <w:r>
        <w:rPr>
          <w:rFonts w:ascii="Times New Roman" w:hAnsi="Times New Roman" w:cs="Times New Roman"/>
          <w:color w:val="000000"/>
        </w:rPr>
        <w:t xml:space="preserve"> to trace the identity of the account intended to be credited. In the result I am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unable to hold that the plaintiff has discharged the onus resting upon him of establishing negligence on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 of the bank, and the action, accordingly, fails.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that the plaintiff is not a trader and therefore does not stand in the vulnerable position of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a person whose commercial credit may be seriously </w:t>
      </w:r>
      <w:proofErr w:type="spellStart"/>
      <w:r>
        <w:rPr>
          <w:rFonts w:ascii="Times New Roman" w:hAnsi="Times New Roman" w:cs="Times New Roman"/>
          <w:color w:val="000000"/>
        </w:rPr>
        <w:t>jeopardised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</w:t>
      </w:r>
      <w:proofErr w:type="spellStart"/>
      <w:r>
        <w:rPr>
          <w:rFonts w:ascii="Times New Roman" w:hAnsi="Times New Roman" w:cs="Times New Roman"/>
          <w:color w:val="000000"/>
        </w:rPr>
        <w:t>dishonouring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of even a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single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 Special damages are not claimed but the court was invited, in assessing general damages,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include among the relevant factors the disconnection of the plaintiff’s telephone, the intimation by the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telephone authorities that they would not accept payment of that particular account by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and the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indication given to the plaintiff by his superior officer in the Lands Department that, unless a proper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explanation was forthcoming, he would be officially reprimanded and would be deprived of the facility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cashing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in the office.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the defendant it was submitted on the authority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Flach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London &amp; South-Western Bank </w:t>
      </w:r>
      <w:r>
        <w:rPr>
          <w:rFonts w:ascii="Times New Roman" w:hAnsi="Times New Roman" w:cs="Times New Roman"/>
          <w:color w:val="000000"/>
        </w:rPr>
        <w:t>(1915),</w:t>
      </w:r>
    </w:p>
    <w:p w:rsidR="009B412B" w:rsidRPr="003F7503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31 T.L.R. 334, that the words “refer to drawer” endorsed on the plaintiff’s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in breach of contract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not capable of a </w:t>
      </w:r>
      <w:proofErr w:type="spellStart"/>
      <w:r>
        <w:rPr>
          <w:rFonts w:ascii="Times New Roman" w:hAnsi="Times New Roman" w:cs="Times New Roman"/>
          <w:color w:val="000000"/>
        </w:rPr>
        <w:t>libellous</w:t>
      </w:r>
      <w:proofErr w:type="spellEnd"/>
      <w:r>
        <w:rPr>
          <w:rFonts w:ascii="Times New Roman" w:hAnsi="Times New Roman" w:cs="Times New Roman"/>
          <w:color w:val="000000"/>
        </w:rPr>
        <w:t xml:space="preserve"> meaning, and that, having regard to the decision in </w:t>
      </w:r>
      <w:r>
        <w:rPr>
          <w:rFonts w:ascii="Times New Roman" w:hAnsi="Times New Roman" w:cs="Times New Roman"/>
          <w:i/>
          <w:iCs/>
          <w:color w:val="000000"/>
        </w:rPr>
        <w:t>Gibbons v.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Westminster Bank Ltd</w:t>
      </w:r>
      <w:r>
        <w:rPr>
          <w:rFonts w:ascii="Times New Roman" w:hAnsi="Times New Roman" w:cs="Times New Roman"/>
          <w:color w:val="000000"/>
        </w:rPr>
        <w:t>., [1939] 2 K.B. 882, the plaintiff, not being a trader and not having pleaded and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special damages, could recover only nominal damages.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Flach’s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turned on the right conferred at that time by law upon debtors to defer for a period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early days of the Great War the payment of certain debts and it has been regarded as a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somewhat special case. I am prepared to assume, but without deciding, that the words “refer to drawer”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capable in the context of the present case of bearing a defamatory meaning and to some extent at least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bore in fact such a meaning. The question then is as to the nature and quantum of damages.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Gibbons</w:t>
      </w:r>
      <w:r>
        <w:rPr>
          <w:rFonts w:ascii="Times New Roman" w:hAnsi="Times New Roman" w:cs="Times New Roman"/>
          <w:color w:val="000000"/>
        </w:rPr>
        <w:t>’ case, where a customer of a bank, who was not a trader, sued that bank for breach of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contract in wrongfully </w:t>
      </w:r>
      <w:proofErr w:type="spellStart"/>
      <w:r>
        <w:rPr>
          <w:rFonts w:ascii="Times New Roman" w:hAnsi="Times New Roman" w:cs="Times New Roman"/>
          <w:color w:val="000000"/>
        </w:rPr>
        <w:t>dishonouring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her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when her account was sufficiently in funds to meet it, it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held that the plaintiff, not having pleaded and proved special damages, could recover only nominal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damages. Mr. </w:t>
      </w:r>
      <w:proofErr w:type="spellStart"/>
      <w:r>
        <w:rPr>
          <w:rFonts w:ascii="Times New Roman" w:hAnsi="Times New Roman" w:cs="Times New Roman"/>
          <w:color w:val="000000"/>
        </w:rPr>
        <w:t>Muite</w:t>
      </w:r>
      <w:proofErr w:type="spellEnd"/>
      <w:r>
        <w:rPr>
          <w:rFonts w:ascii="Times New Roman" w:hAnsi="Times New Roman" w:cs="Times New Roman"/>
          <w:color w:val="000000"/>
        </w:rPr>
        <w:t xml:space="preserve"> very properly stated that he had been informed that there was an unreported decision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Rudd, J. in this country to the contrary effect but that he had been unable to verify his information. Mr.</w:t>
      </w:r>
    </w:p>
    <w:p w:rsidR="009B412B" w:rsidRDefault="003F7503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9B412B">
        <w:rPr>
          <w:rFonts w:ascii="Times New Roman" w:hAnsi="Times New Roman" w:cs="Times New Roman"/>
          <w:color w:val="000000"/>
        </w:rPr>
        <w:t>Gautama was also apparently unable to trace this decision and accordingly I propose to disregard it. [See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Dogra v. Barclays Bank </w:t>
      </w:r>
      <w:r>
        <w:rPr>
          <w:rFonts w:ascii="Times New Roman" w:hAnsi="Times New Roman" w:cs="Times New Roman"/>
          <w:color w:val="000000"/>
        </w:rPr>
        <w:t xml:space="preserve">(note following).] </w:t>
      </w:r>
      <w:r>
        <w:rPr>
          <w:rFonts w:ascii="Times New Roman" w:hAnsi="Times New Roman" w:cs="Times New Roman"/>
          <w:i/>
          <w:iCs/>
          <w:color w:val="000000"/>
        </w:rPr>
        <w:t xml:space="preserve">Gibbon’s </w:t>
      </w:r>
      <w:r>
        <w:rPr>
          <w:rFonts w:ascii="Times New Roman" w:hAnsi="Times New Roman" w:cs="Times New Roman"/>
          <w:color w:val="000000"/>
        </w:rPr>
        <w:t xml:space="preserve">case is referred to in </w:t>
      </w:r>
      <w:r>
        <w:rPr>
          <w:rFonts w:ascii="Times New Roman" w:hAnsi="Times New Roman" w:cs="Times New Roman"/>
          <w:i/>
          <w:iCs/>
          <w:color w:val="000000"/>
        </w:rPr>
        <w:t>Mayne and McGregor on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Damages</w:t>
      </w:r>
      <w:r>
        <w:rPr>
          <w:rFonts w:ascii="Times New Roman" w:hAnsi="Times New Roman" w:cs="Times New Roman"/>
          <w:color w:val="000000"/>
        </w:rPr>
        <w:t xml:space="preserve">, 12th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p. 540, and, notwithstanding that it is a decision of a court of first instance only, I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that I ought to follow and apply it. The position therefore is that were the plaintiff to be held to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established breach of contract by the bank nominal damages only would be awarded and these I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measure at forty shillings.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meet the possibility that the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Gibbons’ </w:t>
      </w:r>
      <w:r>
        <w:rPr>
          <w:rFonts w:ascii="Times New Roman" w:hAnsi="Times New Roman" w:cs="Times New Roman"/>
          <w:color w:val="000000"/>
        </w:rPr>
        <w:t>case may be held to be inapplicable I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turn to a consideration of the quantum of actual damage suffered notwithstanding that it has not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made the subject of a claim for special damages.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regard to the telephone disconnection, the inconvenience which this caused to the plaintiff appears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been suffered for about three days only commencing some five or six days after 30 September,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apparently no re-connection fee was charged. As a result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paid to the telephone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authorities being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 the plaintiff was required to pay that particular account in cash but there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nothing to suggest that this requirement was made to apply to any subsequent accounts.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embarrassment suffered by the plaintiff in his place of employment included that resulting from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unpleasant interview with the acting deputy Commissioner of Lands, the details of which I have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mentioned. Although I may assume that when the true facts became known to the Department the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record was completely cleared, particularly in view of the fact that the action of the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Department itself had unwittingly contributed to what had happened, there is good reason to suppose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for a day or two at least, the plaintiff was considerably alarmed and embarrassed.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Apart, however, from the effects of what occurred during or as a result of the discussions which he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with the telephone officials and person in his Department, there is no evidence of the suffering of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damage or loss by the plaintiff as a consequence of the bank’s actions in the matter, and on the</w:t>
      </w:r>
      <w:r w:rsidR="003F75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assumption that the plaintiff is entitled to damages, I would measure them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1,500/-.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reasons already stated the action is dismissed with costs.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Case dismissed.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SC Gautama</w:t>
      </w:r>
    </w:p>
    <w:p w:rsidR="009B412B" w:rsidRDefault="009B412B" w:rsidP="009B4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3278A0" w:rsidRDefault="009B412B" w:rsidP="009B412B">
      <w:r>
        <w:rPr>
          <w:rFonts w:ascii="Times New Roman" w:hAnsi="Times New Roman" w:cs="Times New Roman"/>
          <w:i/>
          <w:iCs/>
          <w:color w:val="000000"/>
        </w:rPr>
        <w:t xml:space="preserve">PK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Waruhiu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Waruhiu</w:t>
      </w:r>
      <w:proofErr w:type="spellEnd"/>
      <w:r>
        <w:rPr>
          <w:rFonts w:ascii="Times New Roman" w:hAnsi="Times New Roman" w:cs="Times New Roman"/>
          <w:color w:val="000000"/>
        </w:rPr>
        <w:t>, Nairobi)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2B"/>
    <w:rsid w:val="003278A0"/>
    <w:rsid w:val="003F7503"/>
    <w:rsid w:val="009B412B"/>
    <w:rsid w:val="00F77B97"/>
    <w:rsid w:val="00F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61B46-28F3-4EB7-BE0B-6D24803E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4903</Words>
  <Characters>27953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2018-07-06T11:29:00Z</dcterms:created>
  <dcterms:modified xsi:type="dcterms:W3CDTF">2018-07-11T03:14:00Z</dcterms:modified>
</cp:coreProperties>
</file>